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widowControl/>
        <w:suppressLineNumbers w:val="0"/>
        <w:jc w:val="center"/>
      </w:pPr>
      <w:r>
        <w:rPr>
          <w:rStyle w:val="5"/>
          <w:rFonts w:hint="eastAsia" w:ascii="宋体" w:hAnsi="宋体" w:eastAsia="宋体" w:cs="宋体"/>
          <w:sz w:val="32"/>
          <w:szCs w:val="32"/>
        </w:rPr>
        <w:t>可充抵保证金证券、折算率变动</w:t>
      </w:r>
    </w:p>
    <w:p>
      <w:pPr>
        <w:jc w:val="left"/>
        <w:rPr>
          <w:rFonts w:hint="eastAsia"/>
          <w:sz w:val="21"/>
          <w:szCs w:val="21"/>
          <w:lang w:eastAsia="zh-CN"/>
        </w:rPr>
      </w:pPr>
      <w:r>
        <w:rPr>
          <w:sz w:val="21"/>
          <w:szCs w:val="21"/>
        </w:rPr>
        <w:t>根据交易所公示信息</w:t>
      </w:r>
      <w:r>
        <w:rPr>
          <w:rFonts w:hint="eastAsia"/>
          <w:sz w:val="21"/>
          <w:szCs w:val="21"/>
          <w:lang w:eastAsia="zh-CN"/>
        </w:rPr>
        <w:t>，</w:t>
      </w:r>
      <w:r>
        <w:rPr>
          <w:sz w:val="21"/>
          <w:szCs w:val="21"/>
        </w:rPr>
        <w:t>按照我公司相关规定</w:t>
      </w:r>
      <w:r>
        <w:rPr>
          <w:rFonts w:hint="eastAsia"/>
          <w:sz w:val="21"/>
          <w:szCs w:val="21"/>
          <w:lang w:eastAsia="zh-CN"/>
        </w:rPr>
        <w:t>，</w:t>
      </w:r>
      <w:r>
        <w:rPr>
          <w:sz w:val="21"/>
          <w:szCs w:val="21"/>
        </w:rPr>
        <w:t>对可充抵保证金证券及担保物进行了调整</w:t>
      </w:r>
      <w:r>
        <w:rPr>
          <w:rFonts w:hint="eastAsia"/>
          <w:sz w:val="21"/>
          <w:szCs w:val="21"/>
          <w:lang w:eastAsia="zh-CN"/>
        </w:rPr>
        <w:t>。</w:t>
      </w:r>
      <w:r>
        <w:rPr>
          <w:sz w:val="21"/>
          <w:szCs w:val="21"/>
        </w:rPr>
        <w:t>调整后内容见下文</w:t>
      </w:r>
      <w:r>
        <w:rPr>
          <w:rFonts w:hint="eastAsia"/>
          <w:sz w:val="21"/>
          <w:szCs w:val="21"/>
          <w:lang w:eastAsia="zh-CN"/>
        </w:rPr>
        <w:t>：</w:t>
      </w:r>
    </w:p>
    <w:p>
      <w:pPr>
        <w:jc w:val="left"/>
        <w:rPr>
          <w:rFonts w:hint="eastAsia"/>
          <w:sz w:val="21"/>
          <w:szCs w:val="21"/>
          <w:lang w:eastAsia="zh-CN"/>
        </w:rPr>
      </w:pPr>
    </w:p>
    <w:tbl>
      <w:tblPr>
        <w:tblStyle w:val="3"/>
        <w:tblW w:w="11445" w:type="dxa"/>
        <w:jc w:val="center"/>
        <w:tblBorders>
          <w:top w:val="single" w:color="auto" w:sz="0" w:space="0"/>
          <w:left w:val="single" w:color="auto" w:sz="0" w:space="0"/>
          <w:bottom w:val="single" w:color="auto" w:sz="0" w:space="0"/>
          <w:right w:val="single" w:color="auto" w:sz="0" w:space="0"/>
          <w:insideH w:val="single" w:color="auto" w:sz="0" w:space="0"/>
          <w:insideV w:val="single" w:color="auto" w:sz="0" w:space="0"/>
        </w:tblBorders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914"/>
        <w:gridCol w:w="924"/>
        <w:gridCol w:w="936"/>
        <w:gridCol w:w="964"/>
        <w:gridCol w:w="999"/>
        <w:gridCol w:w="1045"/>
        <w:gridCol w:w="810"/>
        <w:gridCol w:w="718"/>
        <w:gridCol w:w="701"/>
        <w:gridCol w:w="989"/>
        <w:gridCol w:w="2445"/>
      </w:tblGrid>
      <w:tr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714" w:hRule="atLeast"/>
          <w:jc w:val="center"/>
        </w:trPr>
        <w:tc>
          <w:tcPr>
            <w:tcW w:w="914" w:type="dxa"/>
            <w:shd w:val="clear" w:color="auto" w:fill="auto"/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证券代码</w:t>
            </w:r>
          </w:p>
        </w:tc>
        <w:tc>
          <w:tcPr>
            <w:tcW w:w="924" w:type="dxa"/>
            <w:shd w:val="clear" w:color="auto" w:fill="auto"/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证券简称</w:t>
            </w:r>
          </w:p>
        </w:tc>
        <w:tc>
          <w:tcPr>
            <w:tcW w:w="936" w:type="dxa"/>
            <w:shd w:val="clear" w:color="auto" w:fill="auto"/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调整前标准折算率(%)</w:t>
            </w:r>
          </w:p>
        </w:tc>
        <w:tc>
          <w:tcPr>
            <w:tcW w:w="964" w:type="dxa"/>
            <w:shd w:val="clear" w:color="auto" w:fill="auto"/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调整前公司折算率(%)</w:t>
            </w:r>
          </w:p>
        </w:tc>
        <w:tc>
          <w:tcPr>
            <w:tcW w:w="999" w:type="dxa"/>
            <w:shd w:val="clear" w:color="auto" w:fill="auto"/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调整后标准折算率(%)</w:t>
            </w:r>
          </w:p>
        </w:tc>
        <w:tc>
          <w:tcPr>
            <w:tcW w:w="1045" w:type="dxa"/>
            <w:shd w:val="clear" w:color="auto" w:fill="auto"/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调整后公司折算率(%)</w:t>
            </w:r>
          </w:p>
        </w:tc>
        <w:tc>
          <w:tcPr>
            <w:tcW w:w="810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eastAsiaTheme="minorEastAsia"/>
                <w:sz w:val="18"/>
                <w:szCs w:val="18"/>
                <w:lang w:val="en-US" w:eastAsia="zh-CN"/>
              </w:rPr>
            </w:pPr>
            <w:r>
              <w:rPr>
                <w:sz w:val="18"/>
                <w:szCs w:val="18"/>
              </w:rPr>
              <w:t>调整前</w:t>
            </w:r>
            <w:r>
              <w:rPr>
                <w:rFonts w:hint="eastAsia"/>
                <w:sz w:val="18"/>
                <w:szCs w:val="18"/>
                <w:lang w:val="en-US" w:eastAsia="zh-CN"/>
              </w:rPr>
              <w:t>分组</w:t>
            </w:r>
          </w:p>
        </w:tc>
        <w:tc>
          <w:tcPr>
            <w:tcW w:w="718" w:type="dxa"/>
            <w:shd w:val="clear" w:color="auto" w:fill="auto"/>
            <w:vAlign w:val="center"/>
          </w:tcPr>
          <w:p>
            <w:pPr>
              <w:jc w:val="center"/>
              <w:rPr>
                <w:rFonts w:hint="default" w:eastAsiaTheme="minorEastAsia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lang w:val="en-US" w:eastAsia="zh-CN"/>
              </w:rPr>
              <w:t>调整后分组</w:t>
            </w:r>
          </w:p>
        </w:tc>
        <w:tc>
          <w:tcPr>
            <w:tcW w:w="701" w:type="dxa"/>
            <w:shd w:val="clear" w:color="auto" w:fill="auto"/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担保状态</w:t>
            </w:r>
          </w:p>
        </w:tc>
        <w:tc>
          <w:tcPr>
            <w:tcW w:w="989" w:type="dxa"/>
            <w:shd w:val="clear" w:color="auto" w:fill="auto"/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担保物价值</w:t>
            </w:r>
          </w:p>
        </w:tc>
        <w:tc>
          <w:tcPr>
            <w:tcW w:w="2445" w:type="dxa"/>
            <w:shd w:val="clear" w:color="auto" w:fill="auto"/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原因</w:t>
            </w:r>
          </w:p>
        </w:tc>
      </w:tr>
      <w:tr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94" w:hRule="atLeast"/>
          <w:jc w:val="center"/>
        </w:trPr>
        <w:tc>
          <w:tcPr>
            <w:tcW w:w="914" w:type="dxa"/>
            <w:shd w:val="clear" w:color="auto" w:fill="auto"/>
            <w:vAlign w:val="center"/>
          </w:tcPr>
          <w:p>
            <w:pPr>
              <w:jc w:val="center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lang w:val="en-US" w:eastAsia="zh-CN"/>
              </w:rPr>
              <w:t>113710.sh</w:t>
            </w:r>
          </w:p>
        </w:tc>
        <w:tc>
          <w:tcPr>
            <w:tcW w:w="924" w:type="dxa"/>
            <w:shd w:val="clear" w:color="auto" w:fill="auto"/>
            <w:vAlign w:val="center"/>
          </w:tcPr>
          <w:p>
            <w:pPr>
              <w:jc w:val="center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lang w:val="en-US" w:eastAsia="zh-CN"/>
              </w:rPr>
              <w:t>四方转债</w:t>
            </w:r>
          </w:p>
        </w:tc>
        <w:tc>
          <w:tcPr>
            <w:tcW w:w="936" w:type="dxa"/>
            <w:shd w:val="clear" w:color="auto" w:fill="auto"/>
            <w:vAlign w:val="center"/>
          </w:tcPr>
          <w:p>
            <w:pPr>
              <w:jc w:val="center"/>
              <w:rPr>
                <w:rFonts w:hint="eastAsia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lang w:val="en-US" w:eastAsia="zh-CN"/>
              </w:rPr>
              <w:t>_</w:t>
            </w:r>
          </w:p>
        </w:tc>
        <w:tc>
          <w:tcPr>
            <w:tcW w:w="964" w:type="dxa"/>
            <w:shd w:val="clear" w:color="auto" w:fill="auto"/>
            <w:vAlign w:val="center"/>
          </w:tcPr>
          <w:p>
            <w:pPr>
              <w:jc w:val="center"/>
              <w:rPr>
                <w:rFonts w:hint="eastAsia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lang w:val="en-US" w:eastAsia="zh-CN"/>
              </w:rPr>
              <w:t>_</w:t>
            </w:r>
          </w:p>
        </w:tc>
        <w:tc>
          <w:tcPr>
            <w:tcW w:w="999" w:type="dxa"/>
            <w:shd w:val="clear" w:color="auto" w:fill="auto"/>
            <w:vAlign w:val="center"/>
          </w:tcPr>
          <w:p>
            <w:pPr>
              <w:jc w:val="center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lang w:val="en-US" w:eastAsia="zh-CN"/>
              </w:rPr>
              <w:t>80</w:t>
            </w:r>
          </w:p>
        </w:tc>
        <w:tc>
          <w:tcPr>
            <w:tcW w:w="1045" w:type="dxa"/>
            <w:shd w:val="clear" w:color="auto" w:fill="auto"/>
            <w:vAlign w:val="center"/>
          </w:tcPr>
          <w:p>
            <w:pPr>
              <w:jc w:val="center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lang w:val="en-US" w:eastAsia="zh-CN"/>
              </w:rPr>
              <w:t>50</w:t>
            </w:r>
          </w:p>
        </w:tc>
        <w:tc>
          <w:tcPr>
            <w:tcW w:w="810" w:type="dxa"/>
            <w:shd w:val="clear" w:color="auto" w:fill="auto"/>
            <w:vAlign w:val="center"/>
          </w:tcPr>
          <w:p>
            <w:pPr>
              <w:jc w:val="center"/>
              <w:rPr>
                <w:rFonts w:hint="eastAsia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lang w:val="en-US" w:eastAsia="zh-CN"/>
              </w:rPr>
              <w:t>_</w:t>
            </w:r>
          </w:p>
        </w:tc>
        <w:tc>
          <w:tcPr>
            <w:tcW w:w="718" w:type="dxa"/>
            <w:shd w:val="clear" w:color="auto" w:fill="auto"/>
            <w:vAlign w:val="center"/>
          </w:tcPr>
          <w:p>
            <w:pPr>
              <w:jc w:val="center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lang w:val="en-US" w:eastAsia="zh-CN"/>
              </w:rPr>
              <w:t>E</w:t>
            </w:r>
          </w:p>
        </w:tc>
        <w:tc>
          <w:tcPr>
            <w:tcW w:w="701" w:type="dxa"/>
            <w:shd w:val="clear" w:color="auto" w:fill="auto"/>
            <w:vAlign w:val="center"/>
          </w:tcPr>
          <w:p>
            <w:pPr>
              <w:jc w:val="center"/>
              <w:rPr>
                <w:rFonts w:hint="eastAsia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lang w:val="en-US" w:eastAsia="zh-CN"/>
              </w:rPr>
              <w:t>正常</w:t>
            </w:r>
          </w:p>
        </w:tc>
        <w:tc>
          <w:tcPr>
            <w:tcW w:w="989" w:type="dxa"/>
            <w:shd w:val="clear" w:color="auto" w:fill="auto"/>
            <w:vAlign w:val="center"/>
          </w:tcPr>
          <w:p>
            <w:pPr>
              <w:jc w:val="center"/>
              <w:rPr>
                <w:rFonts w:hint="eastAsia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lang w:val="en-US" w:eastAsia="zh-CN"/>
              </w:rPr>
              <w:t>100%</w:t>
            </w:r>
          </w:p>
        </w:tc>
        <w:tc>
          <w:tcPr>
            <w:tcW w:w="2445" w:type="dxa"/>
            <w:shd w:val="clear" w:color="auto" w:fill="auto"/>
            <w:vAlign w:val="center"/>
          </w:tcPr>
          <w:p>
            <w:pPr>
              <w:jc w:val="center"/>
              <w:rPr>
                <w:rFonts w:hint="eastAsia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lang w:val="en-US" w:eastAsia="zh-CN"/>
              </w:rPr>
              <w:t>交易所调入</w:t>
            </w:r>
          </w:p>
        </w:tc>
      </w:tr>
      <w:tr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94" w:hRule="atLeast"/>
          <w:jc w:val="center"/>
        </w:trPr>
        <w:tc>
          <w:tcPr>
            <w:tcW w:w="914" w:type="dxa"/>
            <w:shd w:val="clear" w:color="auto" w:fill="auto"/>
            <w:vAlign w:val="center"/>
          </w:tcPr>
          <w:p>
            <w:pPr>
              <w:jc w:val="center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lang w:val="en-US" w:eastAsia="zh-CN"/>
              </w:rPr>
              <w:t>158026.sz</w:t>
            </w:r>
          </w:p>
        </w:tc>
        <w:tc>
          <w:tcPr>
            <w:tcW w:w="924" w:type="dxa"/>
            <w:shd w:val="clear" w:color="auto" w:fill="auto"/>
            <w:vAlign w:val="center"/>
          </w:tcPr>
          <w:p>
            <w:pPr>
              <w:jc w:val="center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lang w:val="en-US" w:eastAsia="zh-CN"/>
              </w:rPr>
              <w:t>国证成长</w:t>
            </w:r>
          </w:p>
        </w:tc>
        <w:tc>
          <w:tcPr>
            <w:tcW w:w="936" w:type="dxa"/>
            <w:shd w:val="clear" w:color="auto" w:fill="auto"/>
            <w:vAlign w:val="center"/>
          </w:tcPr>
          <w:p>
            <w:pPr>
              <w:jc w:val="center"/>
              <w:rPr>
                <w:rFonts w:hint="eastAsia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lang w:val="en-US" w:eastAsia="zh-CN"/>
              </w:rPr>
              <w:t>_</w:t>
            </w:r>
          </w:p>
        </w:tc>
        <w:tc>
          <w:tcPr>
            <w:tcW w:w="964" w:type="dxa"/>
            <w:shd w:val="clear" w:color="auto" w:fill="auto"/>
            <w:vAlign w:val="center"/>
          </w:tcPr>
          <w:p>
            <w:pPr>
              <w:jc w:val="center"/>
              <w:rPr>
                <w:rFonts w:hint="eastAsia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lang w:val="en-US" w:eastAsia="zh-CN"/>
              </w:rPr>
              <w:t>_</w:t>
            </w:r>
          </w:p>
        </w:tc>
        <w:tc>
          <w:tcPr>
            <w:tcW w:w="999" w:type="dxa"/>
            <w:shd w:val="clear" w:color="auto" w:fill="auto"/>
            <w:vAlign w:val="center"/>
          </w:tcPr>
          <w:p>
            <w:pPr>
              <w:jc w:val="center"/>
              <w:rPr>
                <w:rFonts w:hint="eastAsia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lang w:val="en-US" w:eastAsia="zh-CN"/>
              </w:rPr>
              <w:t>90</w:t>
            </w:r>
          </w:p>
        </w:tc>
        <w:tc>
          <w:tcPr>
            <w:tcW w:w="1045" w:type="dxa"/>
            <w:shd w:val="clear" w:color="auto" w:fill="auto"/>
            <w:vAlign w:val="center"/>
          </w:tcPr>
          <w:p>
            <w:pPr>
              <w:jc w:val="center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lang w:val="en-US" w:eastAsia="zh-CN"/>
              </w:rPr>
              <w:t>90</w:t>
            </w:r>
          </w:p>
        </w:tc>
        <w:tc>
          <w:tcPr>
            <w:tcW w:w="810" w:type="dxa"/>
            <w:shd w:val="clear" w:color="auto" w:fill="auto"/>
            <w:vAlign w:val="center"/>
          </w:tcPr>
          <w:p>
            <w:pPr>
              <w:jc w:val="center"/>
              <w:rPr>
                <w:rFonts w:hint="eastAsia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lang w:val="en-US" w:eastAsia="zh-CN"/>
              </w:rPr>
              <w:t>_</w:t>
            </w:r>
          </w:p>
        </w:tc>
        <w:tc>
          <w:tcPr>
            <w:tcW w:w="718" w:type="dxa"/>
            <w:shd w:val="clear" w:color="auto" w:fill="auto"/>
            <w:vAlign w:val="center"/>
          </w:tcPr>
          <w:p>
            <w:pPr>
              <w:jc w:val="center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lang w:val="en-US" w:eastAsia="zh-CN"/>
              </w:rPr>
              <w:t>B</w:t>
            </w:r>
          </w:p>
        </w:tc>
        <w:tc>
          <w:tcPr>
            <w:tcW w:w="701" w:type="dxa"/>
            <w:shd w:val="clear" w:color="auto" w:fill="auto"/>
            <w:vAlign w:val="center"/>
          </w:tcPr>
          <w:p>
            <w:pPr>
              <w:jc w:val="center"/>
              <w:rPr>
                <w:rFonts w:hint="eastAsia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lang w:val="en-US" w:eastAsia="zh-CN"/>
              </w:rPr>
              <w:t>正常</w:t>
            </w:r>
          </w:p>
        </w:tc>
        <w:tc>
          <w:tcPr>
            <w:tcW w:w="989" w:type="dxa"/>
            <w:shd w:val="clear" w:color="auto" w:fill="auto"/>
            <w:vAlign w:val="center"/>
          </w:tcPr>
          <w:p>
            <w:pPr>
              <w:jc w:val="center"/>
              <w:rPr>
                <w:rFonts w:hint="eastAsia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lang w:val="en-US" w:eastAsia="zh-CN"/>
              </w:rPr>
              <w:t>100%</w:t>
            </w:r>
          </w:p>
        </w:tc>
        <w:tc>
          <w:tcPr>
            <w:tcW w:w="2445" w:type="dxa"/>
            <w:shd w:val="clear" w:color="auto" w:fill="auto"/>
            <w:vAlign w:val="center"/>
          </w:tcPr>
          <w:p>
            <w:pPr>
              <w:jc w:val="center"/>
              <w:rPr>
                <w:rFonts w:hint="eastAsia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lang w:val="en-US" w:eastAsia="zh-CN"/>
              </w:rPr>
              <w:t>交易所调入</w:t>
            </w:r>
          </w:p>
        </w:tc>
      </w:tr>
      <w:tr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94" w:hRule="atLeast"/>
          <w:jc w:val="center"/>
        </w:trPr>
        <w:tc>
          <w:tcPr>
            <w:tcW w:w="914" w:type="dxa"/>
            <w:shd w:val="clear" w:color="auto" w:fill="auto"/>
            <w:vAlign w:val="center"/>
          </w:tcPr>
          <w:p>
            <w:pPr>
              <w:jc w:val="center"/>
              <w:rPr>
                <w:rFonts w:hint="eastAsia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lang w:val="en-US" w:eastAsia="zh-CN"/>
              </w:rPr>
              <w:t>158053.sz</w:t>
            </w:r>
          </w:p>
        </w:tc>
        <w:tc>
          <w:tcPr>
            <w:tcW w:w="924" w:type="dxa"/>
            <w:shd w:val="clear" w:color="auto" w:fill="auto"/>
            <w:vAlign w:val="center"/>
          </w:tcPr>
          <w:p>
            <w:pPr>
              <w:jc w:val="center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lang w:val="en-US" w:eastAsia="zh-CN"/>
              </w:rPr>
              <w:t>创算力DC</w:t>
            </w:r>
          </w:p>
        </w:tc>
        <w:tc>
          <w:tcPr>
            <w:tcW w:w="936" w:type="dxa"/>
            <w:shd w:val="clear" w:color="auto" w:fill="auto"/>
            <w:vAlign w:val="center"/>
          </w:tcPr>
          <w:p>
            <w:pPr>
              <w:jc w:val="center"/>
              <w:rPr>
                <w:rFonts w:hint="eastAsia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lang w:val="en-US" w:eastAsia="zh-CN"/>
              </w:rPr>
              <w:t>_</w:t>
            </w:r>
          </w:p>
        </w:tc>
        <w:tc>
          <w:tcPr>
            <w:tcW w:w="964" w:type="dxa"/>
            <w:shd w:val="clear" w:color="auto" w:fill="auto"/>
            <w:vAlign w:val="center"/>
          </w:tcPr>
          <w:p>
            <w:pPr>
              <w:jc w:val="center"/>
              <w:rPr>
                <w:rFonts w:hint="eastAsia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lang w:val="en-US" w:eastAsia="zh-CN"/>
              </w:rPr>
              <w:t>_</w:t>
            </w:r>
          </w:p>
        </w:tc>
        <w:tc>
          <w:tcPr>
            <w:tcW w:w="999" w:type="dxa"/>
            <w:shd w:val="clear" w:color="auto" w:fill="auto"/>
            <w:vAlign w:val="center"/>
          </w:tcPr>
          <w:p>
            <w:pPr>
              <w:jc w:val="center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lang w:val="en-US" w:eastAsia="zh-CN"/>
              </w:rPr>
              <w:t>90</w:t>
            </w:r>
          </w:p>
        </w:tc>
        <w:tc>
          <w:tcPr>
            <w:tcW w:w="1045" w:type="dxa"/>
            <w:shd w:val="clear" w:color="auto" w:fill="auto"/>
            <w:vAlign w:val="center"/>
          </w:tcPr>
          <w:p>
            <w:pPr>
              <w:jc w:val="center"/>
              <w:rPr>
                <w:rFonts w:hint="eastAsia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lang w:val="en-US" w:eastAsia="zh-CN"/>
              </w:rPr>
              <w:t>90</w:t>
            </w:r>
          </w:p>
        </w:tc>
        <w:tc>
          <w:tcPr>
            <w:tcW w:w="810" w:type="dxa"/>
            <w:shd w:val="clear" w:color="auto" w:fill="auto"/>
            <w:vAlign w:val="center"/>
          </w:tcPr>
          <w:p>
            <w:pPr>
              <w:jc w:val="center"/>
              <w:rPr>
                <w:rFonts w:hint="eastAsia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lang w:val="en-US" w:eastAsia="zh-CN"/>
              </w:rPr>
              <w:t>_</w:t>
            </w:r>
          </w:p>
        </w:tc>
        <w:tc>
          <w:tcPr>
            <w:tcW w:w="718" w:type="dxa"/>
            <w:shd w:val="clear" w:color="auto" w:fill="auto"/>
            <w:vAlign w:val="center"/>
          </w:tcPr>
          <w:p>
            <w:pPr>
              <w:jc w:val="center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lang w:val="en-US" w:eastAsia="zh-CN"/>
              </w:rPr>
              <w:t>B</w:t>
            </w:r>
          </w:p>
        </w:tc>
        <w:tc>
          <w:tcPr>
            <w:tcW w:w="701" w:type="dxa"/>
            <w:shd w:val="clear" w:color="auto" w:fill="auto"/>
            <w:vAlign w:val="center"/>
          </w:tcPr>
          <w:p>
            <w:pPr>
              <w:jc w:val="center"/>
              <w:rPr>
                <w:rFonts w:hint="eastAsia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lang w:val="en-US" w:eastAsia="zh-CN"/>
              </w:rPr>
              <w:t>正常</w:t>
            </w:r>
          </w:p>
        </w:tc>
        <w:tc>
          <w:tcPr>
            <w:tcW w:w="989" w:type="dxa"/>
            <w:shd w:val="clear" w:color="auto" w:fill="auto"/>
            <w:vAlign w:val="center"/>
          </w:tcPr>
          <w:p>
            <w:pPr>
              <w:jc w:val="center"/>
              <w:rPr>
                <w:rFonts w:hint="eastAsia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lang w:val="en-US" w:eastAsia="zh-CN"/>
              </w:rPr>
              <w:t>100%</w:t>
            </w:r>
          </w:p>
        </w:tc>
        <w:tc>
          <w:tcPr>
            <w:tcW w:w="2445" w:type="dxa"/>
            <w:shd w:val="clear" w:color="auto" w:fill="auto"/>
            <w:vAlign w:val="center"/>
          </w:tcPr>
          <w:p>
            <w:pPr>
              <w:jc w:val="center"/>
              <w:rPr>
                <w:rFonts w:hint="eastAsia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lang w:val="en-US" w:eastAsia="zh-CN"/>
              </w:rPr>
              <w:t>交易所调入</w:t>
            </w:r>
          </w:p>
        </w:tc>
      </w:tr>
      <w:tr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94" w:hRule="atLeast"/>
          <w:jc w:val="center"/>
        </w:trPr>
        <w:tc>
          <w:tcPr>
            <w:tcW w:w="914" w:type="dxa"/>
            <w:shd w:val="clear" w:color="auto" w:fill="auto"/>
            <w:vAlign w:val="center"/>
          </w:tcPr>
          <w:p>
            <w:pPr>
              <w:jc w:val="center"/>
              <w:rPr>
                <w:rFonts w:hint="eastAsia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lang w:val="en-US" w:eastAsia="zh-CN"/>
              </w:rPr>
              <w:t>158057.sz</w:t>
            </w:r>
          </w:p>
        </w:tc>
        <w:tc>
          <w:tcPr>
            <w:tcW w:w="924" w:type="dxa"/>
            <w:shd w:val="clear" w:color="auto" w:fill="auto"/>
            <w:vAlign w:val="center"/>
          </w:tcPr>
          <w:p>
            <w:pPr>
              <w:jc w:val="center"/>
              <w:rPr>
                <w:rFonts w:hint="eastAsia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lang w:val="en-US" w:eastAsia="zh-CN"/>
              </w:rPr>
              <w:t>算力ETF</w:t>
            </w:r>
          </w:p>
        </w:tc>
        <w:tc>
          <w:tcPr>
            <w:tcW w:w="936" w:type="dxa"/>
            <w:shd w:val="clear" w:color="auto" w:fill="auto"/>
            <w:vAlign w:val="center"/>
          </w:tcPr>
          <w:p>
            <w:pPr>
              <w:jc w:val="center"/>
              <w:rPr>
                <w:rFonts w:hint="eastAsia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lang w:val="en-US" w:eastAsia="zh-CN"/>
              </w:rPr>
              <w:t>_</w:t>
            </w:r>
          </w:p>
        </w:tc>
        <w:tc>
          <w:tcPr>
            <w:tcW w:w="964" w:type="dxa"/>
            <w:shd w:val="clear" w:color="auto" w:fill="auto"/>
            <w:vAlign w:val="center"/>
          </w:tcPr>
          <w:p>
            <w:pPr>
              <w:jc w:val="center"/>
              <w:rPr>
                <w:rFonts w:hint="eastAsia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lang w:val="en-US" w:eastAsia="zh-CN"/>
              </w:rPr>
              <w:t>_</w:t>
            </w:r>
          </w:p>
        </w:tc>
        <w:tc>
          <w:tcPr>
            <w:tcW w:w="999" w:type="dxa"/>
            <w:shd w:val="clear" w:color="auto" w:fill="auto"/>
            <w:vAlign w:val="center"/>
          </w:tcPr>
          <w:p>
            <w:pPr>
              <w:jc w:val="center"/>
              <w:rPr>
                <w:rFonts w:hint="eastAsia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lang w:val="en-US" w:eastAsia="zh-CN"/>
              </w:rPr>
              <w:t>90</w:t>
            </w:r>
          </w:p>
        </w:tc>
        <w:tc>
          <w:tcPr>
            <w:tcW w:w="1045" w:type="dxa"/>
            <w:shd w:val="clear" w:color="auto" w:fill="auto"/>
            <w:vAlign w:val="center"/>
          </w:tcPr>
          <w:p>
            <w:pPr>
              <w:jc w:val="center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lang w:val="en-US" w:eastAsia="zh-CN"/>
              </w:rPr>
              <w:t>90</w:t>
            </w:r>
          </w:p>
        </w:tc>
        <w:tc>
          <w:tcPr>
            <w:tcW w:w="810" w:type="dxa"/>
            <w:shd w:val="clear" w:color="auto" w:fill="auto"/>
            <w:vAlign w:val="center"/>
          </w:tcPr>
          <w:p>
            <w:pPr>
              <w:jc w:val="center"/>
              <w:rPr>
                <w:rFonts w:hint="eastAsia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lang w:val="en-US" w:eastAsia="zh-CN"/>
              </w:rPr>
              <w:t>_</w:t>
            </w:r>
          </w:p>
        </w:tc>
        <w:tc>
          <w:tcPr>
            <w:tcW w:w="718" w:type="dxa"/>
            <w:shd w:val="clear" w:color="auto" w:fill="auto"/>
            <w:vAlign w:val="center"/>
          </w:tcPr>
          <w:p>
            <w:pPr>
              <w:jc w:val="center"/>
              <w:rPr>
                <w:rFonts w:hint="eastAsia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lang w:val="en-US" w:eastAsia="zh-CN"/>
              </w:rPr>
              <w:t>B</w:t>
            </w:r>
          </w:p>
        </w:tc>
        <w:tc>
          <w:tcPr>
            <w:tcW w:w="701" w:type="dxa"/>
            <w:shd w:val="clear" w:color="auto" w:fill="auto"/>
            <w:vAlign w:val="center"/>
          </w:tcPr>
          <w:p>
            <w:pPr>
              <w:jc w:val="center"/>
              <w:rPr>
                <w:rFonts w:hint="eastAsia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lang w:val="en-US" w:eastAsia="zh-CN"/>
              </w:rPr>
              <w:t>正常</w:t>
            </w:r>
          </w:p>
        </w:tc>
        <w:tc>
          <w:tcPr>
            <w:tcW w:w="989" w:type="dxa"/>
            <w:shd w:val="clear" w:color="auto" w:fill="auto"/>
            <w:vAlign w:val="center"/>
          </w:tcPr>
          <w:p>
            <w:pPr>
              <w:jc w:val="center"/>
              <w:rPr>
                <w:rFonts w:hint="eastAsia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lang w:val="en-US" w:eastAsia="zh-CN"/>
              </w:rPr>
              <w:t>100%</w:t>
            </w:r>
          </w:p>
        </w:tc>
        <w:tc>
          <w:tcPr>
            <w:tcW w:w="2445" w:type="dxa"/>
            <w:shd w:val="clear" w:color="auto" w:fill="auto"/>
            <w:vAlign w:val="center"/>
          </w:tcPr>
          <w:p>
            <w:pPr>
              <w:jc w:val="center"/>
              <w:rPr>
                <w:rFonts w:hint="eastAsia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lang w:val="en-US" w:eastAsia="zh-CN"/>
              </w:rPr>
              <w:t>交易所调入</w:t>
            </w:r>
          </w:p>
        </w:tc>
      </w:tr>
      <w:tr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94" w:hRule="atLeast"/>
          <w:jc w:val="center"/>
        </w:trPr>
        <w:tc>
          <w:tcPr>
            <w:tcW w:w="914" w:type="dxa"/>
            <w:shd w:val="clear" w:color="auto" w:fill="auto"/>
            <w:vAlign w:val="center"/>
          </w:tcPr>
          <w:p>
            <w:pPr>
              <w:jc w:val="center"/>
              <w:rPr>
                <w:rFonts w:hint="eastAsia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lang w:val="en-US" w:eastAsia="zh-CN"/>
              </w:rPr>
              <w:t>920025.bj</w:t>
            </w:r>
          </w:p>
        </w:tc>
        <w:tc>
          <w:tcPr>
            <w:tcW w:w="924" w:type="dxa"/>
            <w:shd w:val="clear" w:color="auto" w:fill="auto"/>
            <w:vAlign w:val="center"/>
          </w:tcPr>
          <w:p>
            <w:pPr>
              <w:jc w:val="center"/>
              <w:rPr>
                <w:rFonts w:hint="eastAsia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lang w:val="en-US" w:eastAsia="zh-CN"/>
              </w:rPr>
              <w:t>凯达重工</w:t>
            </w:r>
          </w:p>
        </w:tc>
        <w:tc>
          <w:tcPr>
            <w:tcW w:w="936" w:type="dxa"/>
            <w:shd w:val="clear" w:color="auto" w:fill="auto"/>
            <w:vAlign w:val="center"/>
          </w:tcPr>
          <w:p>
            <w:pPr>
              <w:jc w:val="center"/>
              <w:rPr>
                <w:rFonts w:hint="eastAsia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lang w:val="en-US" w:eastAsia="zh-CN"/>
              </w:rPr>
              <w:t>_</w:t>
            </w:r>
          </w:p>
        </w:tc>
        <w:tc>
          <w:tcPr>
            <w:tcW w:w="964" w:type="dxa"/>
            <w:shd w:val="clear" w:color="auto" w:fill="auto"/>
            <w:vAlign w:val="center"/>
          </w:tcPr>
          <w:p>
            <w:pPr>
              <w:jc w:val="center"/>
              <w:rPr>
                <w:rFonts w:hint="eastAsia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lang w:val="en-US" w:eastAsia="zh-CN"/>
              </w:rPr>
              <w:t>_</w:t>
            </w:r>
          </w:p>
        </w:tc>
        <w:tc>
          <w:tcPr>
            <w:tcW w:w="999" w:type="dxa"/>
            <w:shd w:val="clear" w:color="auto" w:fill="auto"/>
            <w:vAlign w:val="center"/>
          </w:tcPr>
          <w:p>
            <w:pPr>
              <w:jc w:val="center"/>
              <w:rPr>
                <w:rFonts w:hint="eastAsia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lang w:val="en-US" w:eastAsia="zh-CN"/>
              </w:rPr>
              <w:t>65</w:t>
            </w:r>
          </w:p>
        </w:tc>
        <w:tc>
          <w:tcPr>
            <w:tcW w:w="1045" w:type="dxa"/>
            <w:shd w:val="clear" w:color="auto" w:fill="auto"/>
            <w:vAlign w:val="center"/>
          </w:tcPr>
          <w:p>
            <w:pPr>
              <w:jc w:val="center"/>
              <w:rPr>
                <w:rFonts w:hint="eastAsia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lang w:val="en-US" w:eastAsia="zh-CN"/>
              </w:rPr>
              <w:t>20</w:t>
            </w:r>
          </w:p>
        </w:tc>
        <w:tc>
          <w:tcPr>
            <w:tcW w:w="810" w:type="dxa"/>
            <w:shd w:val="clear" w:color="auto" w:fill="auto"/>
            <w:vAlign w:val="center"/>
          </w:tcPr>
          <w:p>
            <w:pPr>
              <w:jc w:val="center"/>
              <w:rPr>
                <w:rFonts w:hint="eastAsia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lang w:val="en-US" w:eastAsia="zh-CN"/>
              </w:rPr>
              <w:t>_</w:t>
            </w:r>
          </w:p>
        </w:tc>
        <w:tc>
          <w:tcPr>
            <w:tcW w:w="718" w:type="dxa"/>
            <w:shd w:val="clear" w:color="auto" w:fill="auto"/>
            <w:vAlign w:val="center"/>
          </w:tcPr>
          <w:p>
            <w:pPr>
              <w:jc w:val="center"/>
              <w:rPr>
                <w:rFonts w:hint="eastAsia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lang w:val="en-US" w:eastAsia="zh-CN"/>
              </w:rPr>
              <w:t>E</w:t>
            </w:r>
          </w:p>
        </w:tc>
        <w:tc>
          <w:tcPr>
            <w:tcW w:w="701" w:type="dxa"/>
            <w:shd w:val="clear" w:color="auto" w:fill="auto"/>
            <w:vAlign w:val="center"/>
          </w:tcPr>
          <w:p>
            <w:pPr>
              <w:jc w:val="center"/>
              <w:rPr>
                <w:rFonts w:hint="eastAsia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lang w:val="en-US" w:eastAsia="zh-CN"/>
              </w:rPr>
              <w:t>正常</w:t>
            </w:r>
          </w:p>
        </w:tc>
        <w:tc>
          <w:tcPr>
            <w:tcW w:w="989" w:type="dxa"/>
            <w:shd w:val="clear" w:color="auto" w:fill="auto"/>
            <w:vAlign w:val="center"/>
          </w:tcPr>
          <w:p>
            <w:pPr>
              <w:jc w:val="center"/>
              <w:rPr>
                <w:rFonts w:hint="eastAsia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lang w:val="en-US" w:eastAsia="zh-CN"/>
              </w:rPr>
              <w:t>100%</w:t>
            </w:r>
          </w:p>
        </w:tc>
        <w:tc>
          <w:tcPr>
            <w:tcW w:w="2445" w:type="dxa"/>
            <w:shd w:val="clear" w:color="auto" w:fill="auto"/>
            <w:vAlign w:val="center"/>
          </w:tcPr>
          <w:p>
            <w:pPr>
              <w:jc w:val="center"/>
              <w:rPr>
                <w:rFonts w:hint="eastAsia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lang w:val="en-US" w:eastAsia="zh-CN"/>
              </w:rPr>
              <w:t>交易所调入</w:t>
            </w:r>
          </w:p>
        </w:tc>
      </w:tr>
      <w:tr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94" w:hRule="atLeast"/>
          <w:jc w:val="center"/>
        </w:trPr>
        <w:tc>
          <w:tcPr>
            <w:tcW w:w="914" w:type="dxa"/>
            <w:shd w:val="clear" w:color="auto" w:fill="auto"/>
            <w:vAlign w:val="center"/>
          </w:tcPr>
          <w:p>
            <w:pPr>
              <w:jc w:val="center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lang w:val="en-US" w:eastAsia="zh-CN"/>
              </w:rPr>
              <w:t>002253.sz</w:t>
            </w:r>
          </w:p>
        </w:tc>
        <w:tc>
          <w:tcPr>
            <w:tcW w:w="924" w:type="dxa"/>
            <w:shd w:val="clear" w:color="auto" w:fill="auto"/>
            <w:vAlign w:val="center"/>
          </w:tcPr>
          <w:p>
            <w:pPr>
              <w:jc w:val="center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lang w:val="en-US" w:eastAsia="zh-CN"/>
              </w:rPr>
              <w:t>川大智胜</w:t>
            </w:r>
          </w:p>
        </w:tc>
        <w:tc>
          <w:tcPr>
            <w:tcW w:w="936" w:type="dxa"/>
            <w:shd w:val="clear" w:color="auto" w:fill="auto"/>
            <w:vAlign w:val="center"/>
          </w:tcPr>
          <w:p>
            <w:pPr>
              <w:jc w:val="center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lang w:val="en-US" w:eastAsia="zh-CN"/>
              </w:rPr>
              <w:t>0</w:t>
            </w:r>
          </w:p>
        </w:tc>
        <w:tc>
          <w:tcPr>
            <w:tcW w:w="964" w:type="dxa"/>
            <w:shd w:val="clear" w:color="auto" w:fill="auto"/>
            <w:vAlign w:val="center"/>
          </w:tcPr>
          <w:p>
            <w:pPr>
              <w:jc w:val="center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lang w:val="en-US" w:eastAsia="zh-CN"/>
              </w:rPr>
              <w:t>0</w:t>
            </w:r>
          </w:p>
        </w:tc>
        <w:tc>
          <w:tcPr>
            <w:tcW w:w="999" w:type="dxa"/>
            <w:shd w:val="clear" w:color="auto" w:fill="auto"/>
            <w:vAlign w:val="center"/>
          </w:tcPr>
          <w:p>
            <w:pPr>
              <w:jc w:val="center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lang w:val="en-US" w:eastAsia="zh-CN"/>
              </w:rPr>
              <w:t>0</w:t>
            </w:r>
          </w:p>
        </w:tc>
        <w:tc>
          <w:tcPr>
            <w:tcW w:w="1045" w:type="dxa"/>
            <w:shd w:val="clear" w:color="auto" w:fill="auto"/>
            <w:vAlign w:val="center"/>
          </w:tcPr>
          <w:p>
            <w:pPr>
              <w:jc w:val="center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lang w:val="en-US" w:eastAsia="zh-CN"/>
              </w:rPr>
              <w:t>0</w:t>
            </w:r>
          </w:p>
        </w:tc>
        <w:tc>
          <w:tcPr>
            <w:tcW w:w="810" w:type="dxa"/>
            <w:shd w:val="clear" w:color="auto" w:fill="auto"/>
            <w:vAlign w:val="center"/>
          </w:tcPr>
          <w:p>
            <w:pPr>
              <w:jc w:val="center"/>
              <w:rPr>
                <w:rFonts w:hint="eastAsia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lang w:val="en-US" w:eastAsia="zh-CN"/>
              </w:rPr>
              <w:t>E</w:t>
            </w:r>
          </w:p>
        </w:tc>
        <w:tc>
          <w:tcPr>
            <w:tcW w:w="718" w:type="dxa"/>
            <w:shd w:val="clear" w:color="auto" w:fill="auto"/>
            <w:vAlign w:val="center"/>
          </w:tcPr>
          <w:p>
            <w:pPr>
              <w:jc w:val="center"/>
              <w:rPr>
                <w:rFonts w:hint="eastAsia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lang w:val="en-US" w:eastAsia="zh-CN"/>
              </w:rPr>
              <w:t>E</w:t>
            </w:r>
          </w:p>
        </w:tc>
        <w:tc>
          <w:tcPr>
            <w:tcW w:w="701" w:type="dxa"/>
            <w:shd w:val="clear" w:color="auto" w:fill="auto"/>
            <w:vAlign w:val="center"/>
          </w:tcPr>
          <w:p>
            <w:pPr>
              <w:jc w:val="center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lang w:val="en-US" w:eastAsia="zh-CN"/>
              </w:rPr>
              <w:t>暂停</w:t>
            </w:r>
          </w:p>
        </w:tc>
        <w:tc>
          <w:tcPr>
            <w:tcW w:w="989" w:type="dxa"/>
            <w:shd w:val="clear" w:color="auto" w:fill="auto"/>
            <w:vAlign w:val="center"/>
          </w:tcPr>
          <w:p>
            <w:pPr>
              <w:jc w:val="center"/>
              <w:rPr>
                <w:rFonts w:hint="eastAsia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lang w:val="en-US" w:eastAsia="zh-CN"/>
              </w:rPr>
              <w:t>100%</w:t>
            </w:r>
          </w:p>
        </w:tc>
        <w:tc>
          <w:tcPr>
            <w:tcW w:w="2445" w:type="dxa"/>
            <w:shd w:val="clear" w:color="auto" w:fill="auto"/>
            <w:vAlign w:val="center"/>
          </w:tcPr>
          <w:p>
            <w:pPr>
              <w:jc w:val="center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lang w:val="en-US" w:eastAsia="zh-CN"/>
              </w:rPr>
              <w:t>立案调查调出</w:t>
            </w:r>
          </w:p>
        </w:tc>
      </w:tr>
      <w:tr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94" w:hRule="atLeast"/>
          <w:jc w:val="center"/>
        </w:trPr>
        <w:tc>
          <w:tcPr>
            <w:tcW w:w="914" w:type="dxa"/>
            <w:shd w:val="clear" w:color="auto" w:fill="auto"/>
            <w:vAlign w:val="center"/>
          </w:tcPr>
          <w:p>
            <w:pPr>
              <w:jc w:val="center"/>
              <w:rPr>
                <w:rFonts w:hint="eastAsia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lang w:val="en-US" w:eastAsia="zh-CN"/>
              </w:rPr>
              <w:t>920229.bj</w:t>
            </w:r>
          </w:p>
        </w:tc>
        <w:tc>
          <w:tcPr>
            <w:tcW w:w="924" w:type="dxa"/>
            <w:shd w:val="clear" w:color="auto" w:fill="auto"/>
            <w:vAlign w:val="center"/>
          </w:tcPr>
          <w:p>
            <w:pPr>
              <w:jc w:val="center"/>
              <w:rPr>
                <w:rFonts w:hint="eastAsia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lang w:val="en-US" w:eastAsia="zh-CN"/>
              </w:rPr>
              <w:t>世纪数码</w:t>
            </w:r>
          </w:p>
        </w:tc>
        <w:tc>
          <w:tcPr>
            <w:tcW w:w="936" w:type="dxa"/>
            <w:shd w:val="clear" w:color="auto" w:fill="auto"/>
            <w:vAlign w:val="center"/>
          </w:tcPr>
          <w:p>
            <w:pPr>
              <w:jc w:val="center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lang w:val="en-US" w:eastAsia="zh-CN"/>
              </w:rPr>
              <w:t>65</w:t>
            </w:r>
          </w:p>
        </w:tc>
        <w:tc>
          <w:tcPr>
            <w:tcW w:w="964" w:type="dxa"/>
            <w:shd w:val="clear" w:color="auto" w:fill="auto"/>
            <w:vAlign w:val="center"/>
          </w:tcPr>
          <w:p>
            <w:pPr>
              <w:jc w:val="center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lang w:val="en-US" w:eastAsia="zh-CN"/>
              </w:rPr>
              <w:t>20</w:t>
            </w:r>
          </w:p>
        </w:tc>
        <w:tc>
          <w:tcPr>
            <w:tcW w:w="999" w:type="dxa"/>
            <w:shd w:val="clear" w:color="auto" w:fill="auto"/>
            <w:vAlign w:val="center"/>
          </w:tcPr>
          <w:p>
            <w:pPr>
              <w:jc w:val="center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lang w:val="en-US" w:eastAsia="zh-CN"/>
              </w:rPr>
              <w:t>65</w:t>
            </w:r>
          </w:p>
        </w:tc>
        <w:tc>
          <w:tcPr>
            <w:tcW w:w="1045" w:type="dxa"/>
            <w:shd w:val="clear" w:color="auto" w:fill="auto"/>
            <w:vAlign w:val="center"/>
          </w:tcPr>
          <w:p>
            <w:pPr>
              <w:jc w:val="center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lang w:val="en-US" w:eastAsia="zh-CN"/>
              </w:rPr>
              <w:t>30</w:t>
            </w:r>
          </w:p>
        </w:tc>
        <w:tc>
          <w:tcPr>
            <w:tcW w:w="810" w:type="dxa"/>
            <w:shd w:val="clear" w:color="auto" w:fill="auto"/>
            <w:vAlign w:val="center"/>
          </w:tcPr>
          <w:p>
            <w:pPr>
              <w:jc w:val="center"/>
              <w:rPr>
                <w:rFonts w:hint="eastAsia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lang w:val="en-US" w:eastAsia="zh-CN"/>
              </w:rPr>
              <w:t>E</w:t>
            </w:r>
          </w:p>
        </w:tc>
        <w:tc>
          <w:tcPr>
            <w:tcW w:w="718" w:type="dxa"/>
            <w:shd w:val="clear" w:color="auto" w:fill="auto"/>
            <w:vAlign w:val="center"/>
          </w:tcPr>
          <w:p>
            <w:pPr>
              <w:jc w:val="center"/>
              <w:rPr>
                <w:rFonts w:hint="eastAsia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lang w:val="en-US" w:eastAsia="zh-CN"/>
              </w:rPr>
              <w:t>E</w:t>
            </w:r>
          </w:p>
        </w:tc>
        <w:tc>
          <w:tcPr>
            <w:tcW w:w="701" w:type="dxa"/>
            <w:shd w:val="clear" w:color="auto" w:fill="auto"/>
            <w:vAlign w:val="center"/>
          </w:tcPr>
          <w:p>
            <w:pPr>
              <w:jc w:val="center"/>
              <w:rPr>
                <w:rFonts w:hint="eastAsia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lang w:val="en-US" w:eastAsia="zh-CN"/>
              </w:rPr>
              <w:t>正常</w:t>
            </w:r>
          </w:p>
        </w:tc>
        <w:tc>
          <w:tcPr>
            <w:tcW w:w="989" w:type="dxa"/>
            <w:shd w:val="clear" w:color="auto" w:fill="auto"/>
            <w:vAlign w:val="center"/>
          </w:tcPr>
          <w:p>
            <w:pPr>
              <w:jc w:val="center"/>
              <w:rPr>
                <w:rFonts w:hint="eastAsia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lang w:val="en-US" w:eastAsia="zh-CN"/>
              </w:rPr>
              <w:t>100%</w:t>
            </w:r>
          </w:p>
        </w:tc>
        <w:tc>
          <w:tcPr>
            <w:tcW w:w="2445" w:type="dxa"/>
            <w:shd w:val="clear" w:color="auto" w:fill="auto"/>
            <w:vAlign w:val="center"/>
          </w:tcPr>
          <w:p>
            <w:pPr>
              <w:jc w:val="center"/>
              <w:rPr>
                <w:rFonts w:hint="eastAsia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lang w:val="en-US" w:eastAsia="zh-CN"/>
              </w:rPr>
              <w:t>北交所证券上市第2个交易日折算率调整</w:t>
            </w:r>
          </w:p>
        </w:tc>
      </w:tr>
      <w:tr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94" w:hRule="atLeast"/>
          <w:jc w:val="center"/>
        </w:trPr>
        <w:tc>
          <w:tcPr>
            <w:tcW w:w="914" w:type="dxa"/>
            <w:shd w:val="clear" w:color="auto" w:fill="auto"/>
            <w:vAlign w:val="center"/>
          </w:tcPr>
          <w:p>
            <w:pPr>
              <w:jc w:val="center"/>
              <w:rPr>
                <w:rFonts w:hint="eastAsia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688837.sh</w:t>
            </w:r>
          </w:p>
        </w:tc>
        <w:tc>
          <w:tcPr>
            <w:tcW w:w="924" w:type="dxa"/>
            <w:shd w:val="clear" w:color="auto" w:fill="auto"/>
            <w:vAlign w:val="center"/>
          </w:tcPr>
          <w:p>
            <w:pPr>
              <w:jc w:val="center"/>
              <w:rPr>
                <w:rFonts w:hint="eastAsia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信诺维</w:t>
            </w:r>
          </w:p>
        </w:tc>
        <w:tc>
          <w:tcPr>
            <w:tcW w:w="936" w:type="dxa"/>
            <w:shd w:val="clear" w:color="auto" w:fill="auto"/>
            <w:vAlign w:val="center"/>
          </w:tcPr>
          <w:p>
            <w:pPr>
              <w:jc w:val="center"/>
              <w:rPr>
                <w:rFonts w:hint="eastAsia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lang w:val="en-US" w:eastAsia="zh-CN"/>
              </w:rPr>
              <w:t>65</w:t>
            </w:r>
          </w:p>
        </w:tc>
        <w:tc>
          <w:tcPr>
            <w:tcW w:w="964" w:type="dxa"/>
            <w:shd w:val="clear" w:color="auto" w:fill="auto"/>
            <w:vAlign w:val="center"/>
          </w:tcPr>
          <w:p>
            <w:pPr>
              <w:jc w:val="center"/>
              <w:rPr>
                <w:rFonts w:hint="eastAsia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lang w:val="en-US" w:eastAsia="zh-CN"/>
              </w:rPr>
              <w:t>30</w:t>
            </w:r>
          </w:p>
        </w:tc>
        <w:tc>
          <w:tcPr>
            <w:tcW w:w="999" w:type="dxa"/>
            <w:shd w:val="clear" w:color="auto" w:fill="auto"/>
            <w:vAlign w:val="center"/>
          </w:tcPr>
          <w:p>
            <w:pPr>
              <w:jc w:val="center"/>
              <w:rPr>
                <w:rFonts w:hint="eastAsia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lang w:val="en-US" w:eastAsia="zh-CN"/>
              </w:rPr>
              <w:t>65</w:t>
            </w:r>
          </w:p>
        </w:tc>
        <w:tc>
          <w:tcPr>
            <w:tcW w:w="1045" w:type="dxa"/>
            <w:shd w:val="clear" w:color="auto" w:fill="auto"/>
            <w:vAlign w:val="center"/>
          </w:tcPr>
          <w:p>
            <w:pPr>
              <w:jc w:val="center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lang w:val="en-US" w:eastAsia="zh-CN"/>
              </w:rPr>
              <w:t>55</w:t>
            </w:r>
          </w:p>
        </w:tc>
        <w:tc>
          <w:tcPr>
            <w:tcW w:w="810" w:type="dxa"/>
            <w:shd w:val="clear" w:color="auto" w:fill="auto"/>
            <w:vAlign w:val="center"/>
          </w:tcPr>
          <w:p>
            <w:pPr>
              <w:jc w:val="center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lang w:val="en-US" w:eastAsia="zh-CN"/>
              </w:rPr>
              <w:t>D</w:t>
            </w:r>
          </w:p>
        </w:tc>
        <w:tc>
          <w:tcPr>
            <w:tcW w:w="718" w:type="dxa"/>
            <w:shd w:val="clear" w:color="auto" w:fill="auto"/>
            <w:vAlign w:val="center"/>
          </w:tcPr>
          <w:p>
            <w:pPr>
              <w:jc w:val="center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lang w:val="en-US" w:eastAsia="zh-CN"/>
              </w:rPr>
              <w:t>D</w:t>
            </w:r>
          </w:p>
        </w:tc>
        <w:tc>
          <w:tcPr>
            <w:tcW w:w="701" w:type="dxa"/>
            <w:shd w:val="clear" w:color="auto" w:fill="auto"/>
            <w:vAlign w:val="center"/>
          </w:tcPr>
          <w:p>
            <w:pPr>
              <w:jc w:val="center"/>
              <w:rPr>
                <w:rFonts w:hint="eastAsia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lang w:val="en-US" w:eastAsia="zh-CN"/>
              </w:rPr>
              <w:t>正常</w:t>
            </w:r>
          </w:p>
        </w:tc>
        <w:tc>
          <w:tcPr>
            <w:tcW w:w="989" w:type="dxa"/>
            <w:shd w:val="clear" w:color="auto" w:fill="auto"/>
            <w:vAlign w:val="center"/>
          </w:tcPr>
          <w:p>
            <w:pPr>
              <w:jc w:val="center"/>
              <w:rPr>
                <w:rFonts w:hint="eastAsia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lang w:val="en-US" w:eastAsia="zh-CN"/>
              </w:rPr>
              <w:t>100%</w:t>
            </w:r>
          </w:p>
        </w:tc>
        <w:tc>
          <w:tcPr>
            <w:tcW w:w="2445" w:type="dxa"/>
            <w:shd w:val="clear" w:color="auto" w:fill="auto"/>
            <w:vAlign w:val="center"/>
          </w:tcPr>
          <w:p>
            <w:pPr>
              <w:jc w:val="center"/>
              <w:rPr>
                <w:rFonts w:hint="eastAsia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lang w:val="en-US" w:eastAsia="zh-CN"/>
              </w:rPr>
              <w:t>注册制双创板上市第6个交易日折算率调整</w:t>
            </w:r>
          </w:p>
        </w:tc>
      </w:tr>
    </w:tbl>
    <w:p>
      <w:pPr>
        <w:jc w:val="left"/>
        <w:rPr>
          <w:rFonts w:hint="eastAsia"/>
          <w:sz w:val="21"/>
          <w:szCs w:val="21"/>
          <w:lang w:eastAsia="zh-CN"/>
        </w:rPr>
      </w:pPr>
    </w:p>
    <w:p>
      <w:pPr>
        <w:pStyle w:val="2"/>
        <w:keepNext w:val="0"/>
        <w:keepLines w:val="0"/>
        <w:widowControl/>
        <w:suppressLineNumbers w:val="0"/>
        <w:jc w:val="left"/>
        <w:rPr>
          <w:rFonts w:hint="eastAsia" w:asciiTheme="minorHAnsi" w:hAnsiTheme="minorHAnsi" w:eastAsiaTheme="minorEastAsia" w:cstheme="minorBidi"/>
          <w:kern w:val="2"/>
          <w:sz w:val="21"/>
          <w:szCs w:val="21"/>
          <w:lang w:val="en-US" w:eastAsia="zh-CN" w:bidi="ar-SA"/>
        </w:rPr>
      </w:pPr>
      <w:r>
        <w:rPr>
          <w:rFonts w:asciiTheme="minorHAnsi" w:hAnsiTheme="minorHAnsi" w:eastAsiaTheme="minorEastAsia" w:cstheme="minorBidi"/>
          <w:kern w:val="2"/>
          <w:sz w:val="21"/>
          <w:szCs w:val="21"/>
          <w:lang w:val="en-US" w:eastAsia="zh-CN" w:bidi="ar-SA"/>
        </w:rPr>
        <w:t>担保状态作废或停用的不再计保证金可用余额</w:t>
      </w:r>
      <w:r>
        <w:rPr>
          <w:rFonts w:hint="eastAsia" w:asciiTheme="minorHAnsi" w:hAnsiTheme="minorHAnsi" w:eastAsiaTheme="minorEastAsia" w:cstheme="minorBidi"/>
          <w:kern w:val="2"/>
          <w:sz w:val="21"/>
          <w:szCs w:val="21"/>
          <w:lang w:val="en-US" w:eastAsia="zh-CN" w:bidi="ar-SA"/>
        </w:rPr>
        <w:t>；</w:t>
      </w:r>
    </w:p>
    <w:p>
      <w:pPr>
        <w:pStyle w:val="2"/>
        <w:keepNext w:val="0"/>
        <w:keepLines w:val="0"/>
        <w:widowControl/>
        <w:suppressLineNumbers w:val="0"/>
        <w:jc w:val="center"/>
      </w:pPr>
      <w:r>
        <w:rPr>
          <w:rStyle w:val="5"/>
          <w:rFonts w:hint="eastAsia" w:ascii="宋体" w:hAnsi="宋体" w:eastAsia="宋体" w:cs="宋体"/>
          <w:sz w:val="32"/>
          <w:szCs w:val="32"/>
        </w:rPr>
        <w:t>标的</w:t>
      </w:r>
      <w:r>
        <w:rPr>
          <w:rStyle w:val="5"/>
          <w:rFonts w:hint="eastAsia" w:ascii="宋体" w:hAnsi="宋体" w:eastAsia="宋体" w:cs="宋体"/>
          <w:sz w:val="32"/>
          <w:szCs w:val="32"/>
          <w:lang w:val="en-US" w:eastAsia="zh-CN"/>
        </w:rPr>
        <w:t>证</w:t>
      </w:r>
      <w:r>
        <w:rPr>
          <w:rStyle w:val="5"/>
          <w:rFonts w:hint="eastAsia" w:ascii="宋体" w:hAnsi="宋体" w:eastAsia="宋体" w:cs="宋体"/>
          <w:sz w:val="32"/>
          <w:szCs w:val="32"/>
        </w:rPr>
        <w:t>券变动</w:t>
      </w:r>
    </w:p>
    <w:p>
      <w:pPr>
        <w:jc w:val="left"/>
        <w:rPr>
          <w:rFonts w:hint="eastAsia"/>
          <w:sz w:val="21"/>
          <w:szCs w:val="21"/>
          <w:lang w:eastAsia="zh-CN"/>
        </w:rPr>
      </w:pPr>
      <w:r>
        <w:rPr>
          <w:sz w:val="21"/>
          <w:szCs w:val="21"/>
        </w:rPr>
        <w:t>根据交易所公示信息</w:t>
      </w:r>
      <w:r>
        <w:rPr>
          <w:rFonts w:hint="eastAsia"/>
          <w:sz w:val="21"/>
          <w:szCs w:val="21"/>
          <w:lang w:eastAsia="zh-CN"/>
        </w:rPr>
        <w:t>，</w:t>
      </w:r>
      <w:r>
        <w:rPr>
          <w:sz w:val="21"/>
          <w:szCs w:val="21"/>
        </w:rPr>
        <w:t>按照我公司相关规定</w:t>
      </w:r>
      <w:r>
        <w:rPr>
          <w:rFonts w:hint="eastAsia"/>
          <w:sz w:val="21"/>
          <w:szCs w:val="21"/>
          <w:lang w:eastAsia="zh-CN"/>
        </w:rPr>
        <w:t>，</w:t>
      </w:r>
      <w:r>
        <w:rPr>
          <w:sz w:val="21"/>
          <w:szCs w:val="21"/>
        </w:rPr>
        <w:t>对融资融券标的证券及保证金比例进行调整</w:t>
      </w:r>
      <w:r>
        <w:rPr>
          <w:rFonts w:hint="eastAsia"/>
          <w:sz w:val="21"/>
          <w:szCs w:val="21"/>
          <w:lang w:eastAsia="zh-CN"/>
        </w:rPr>
        <w:t>，</w:t>
      </w:r>
      <w:r>
        <w:rPr>
          <w:sz w:val="21"/>
          <w:szCs w:val="21"/>
        </w:rPr>
        <w:t>调整后内容见下文</w:t>
      </w:r>
      <w:r>
        <w:rPr>
          <w:rFonts w:hint="eastAsia"/>
          <w:sz w:val="21"/>
          <w:szCs w:val="21"/>
          <w:lang w:eastAsia="zh-CN"/>
        </w:rPr>
        <w:t>：</w:t>
      </w:r>
    </w:p>
    <w:p>
      <w:pPr>
        <w:jc w:val="left"/>
        <w:rPr>
          <w:rFonts w:hint="eastAsia"/>
          <w:sz w:val="21"/>
          <w:szCs w:val="21"/>
          <w:lang w:eastAsia="zh-CN"/>
        </w:rPr>
      </w:pPr>
    </w:p>
    <w:tbl>
      <w:tblPr>
        <w:tblStyle w:val="3"/>
        <w:tblW w:w="8822" w:type="dxa"/>
        <w:jc w:val="center"/>
        <w:tblBorders>
          <w:top w:val="single" w:color="auto" w:sz="0" w:space="0"/>
          <w:left w:val="single" w:color="auto" w:sz="0" w:space="0"/>
          <w:bottom w:val="single" w:color="auto" w:sz="0" w:space="0"/>
          <w:right w:val="single" w:color="auto" w:sz="0" w:space="0"/>
          <w:insideH w:val="single" w:color="auto" w:sz="0" w:space="0"/>
          <w:insideV w:val="single" w:color="auto" w:sz="0" w:space="0"/>
        </w:tblBorders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1237"/>
        <w:gridCol w:w="1303"/>
        <w:gridCol w:w="1186"/>
        <w:gridCol w:w="1178"/>
        <w:gridCol w:w="1454"/>
        <w:gridCol w:w="2464"/>
      </w:tblGrid>
      <w:tr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700" w:hRule="atLeast"/>
          <w:jc w:val="center"/>
        </w:trPr>
        <w:tc>
          <w:tcPr>
            <w:tcW w:w="1237" w:type="dxa"/>
            <w:shd w:val="clear" w:color="auto" w:fill="auto"/>
            <w:vAlign w:val="center"/>
          </w:tcPr>
          <w:p>
            <w:pPr>
              <w:jc w:val="center"/>
              <w:rPr>
                <w:rFonts w:hint="eastAsia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lang w:val="en-US" w:eastAsia="zh-CN"/>
              </w:rPr>
              <w:t>证券代码</w:t>
            </w:r>
          </w:p>
        </w:tc>
        <w:tc>
          <w:tcPr>
            <w:tcW w:w="1303" w:type="dxa"/>
            <w:shd w:val="clear" w:color="auto" w:fill="auto"/>
            <w:vAlign w:val="center"/>
          </w:tcPr>
          <w:p>
            <w:pPr>
              <w:jc w:val="center"/>
              <w:rPr>
                <w:rFonts w:hint="eastAsia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lang w:val="en-US" w:eastAsia="zh-CN"/>
              </w:rPr>
              <w:t>证券简称</w:t>
            </w:r>
          </w:p>
        </w:tc>
        <w:tc>
          <w:tcPr>
            <w:tcW w:w="1186" w:type="dxa"/>
            <w:shd w:val="clear" w:color="auto" w:fill="auto"/>
            <w:vAlign w:val="center"/>
          </w:tcPr>
          <w:p>
            <w:pPr>
              <w:jc w:val="center"/>
              <w:rPr>
                <w:rFonts w:hint="eastAsia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lang w:val="en-US" w:eastAsia="zh-CN"/>
              </w:rPr>
              <w:t>调整前融资保证金比例(%)</w:t>
            </w:r>
          </w:p>
        </w:tc>
        <w:tc>
          <w:tcPr>
            <w:tcW w:w="1178" w:type="dxa"/>
            <w:shd w:val="clear" w:color="auto" w:fill="auto"/>
            <w:vAlign w:val="center"/>
          </w:tcPr>
          <w:p>
            <w:pPr>
              <w:jc w:val="center"/>
              <w:rPr>
                <w:rFonts w:hint="eastAsia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lang w:val="en-US" w:eastAsia="zh-CN"/>
              </w:rPr>
              <w:t>调整后融资保证金比例(%)</w:t>
            </w:r>
          </w:p>
        </w:tc>
        <w:tc>
          <w:tcPr>
            <w:tcW w:w="1454" w:type="dxa"/>
            <w:shd w:val="clear" w:color="auto" w:fill="auto"/>
            <w:vAlign w:val="center"/>
          </w:tcPr>
          <w:p>
            <w:pPr>
              <w:jc w:val="center"/>
              <w:rPr>
                <w:rFonts w:hint="eastAsia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lang w:val="en-US" w:eastAsia="zh-CN"/>
              </w:rPr>
              <w:t>状态</w:t>
            </w:r>
          </w:p>
        </w:tc>
        <w:tc>
          <w:tcPr>
            <w:tcW w:w="2464" w:type="dxa"/>
            <w:shd w:val="clear" w:color="auto" w:fill="auto"/>
            <w:vAlign w:val="center"/>
          </w:tcPr>
          <w:p>
            <w:pPr>
              <w:jc w:val="center"/>
              <w:rPr>
                <w:rFonts w:hint="eastAsia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lang w:val="en-US" w:eastAsia="zh-CN"/>
              </w:rPr>
              <w:t>原因</w:t>
            </w:r>
          </w:p>
        </w:tc>
      </w:tr>
      <w:tr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500" w:hRule="atLeast"/>
          <w:jc w:val="center"/>
        </w:trPr>
        <w:tc>
          <w:tcPr>
            <w:tcW w:w="1237" w:type="dxa"/>
            <w:shd w:val="clear" w:color="auto" w:fill="auto"/>
            <w:vAlign w:val="center"/>
          </w:tcPr>
          <w:p>
            <w:pPr>
              <w:jc w:val="center"/>
              <w:rPr>
                <w:rFonts w:hint="eastAsia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lang w:val="en-US" w:eastAsia="zh-CN"/>
              </w:rPr>
              <w:t>920025.bj</w:t>
            </w:r>
          </w:p>
        </w:tc>
        <w:tc>
          <w:tcPr>
            <w:tcW w:w="1303" w:type="dxa"/>
            <w:shd w:val="clear" w:color="auto" w:fill="auto"/>
            <w:vAlign w:val="center"/>
          </w:tcPr>
          <w:p>
            <w:pPr>
              <w:jc w:val="center"/>
              <w:rPr>
                <w:rFonts w:hint="eastAsia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lang w:val="en-US" w:eastAsia="zh-CN"/>
              </w:rPr>
              <w:t>凯达重工</w:t>
            </w:r>
          </w:p>
        </w:tc>
        <w:tc>
          <w:tcPr>
            <w:tcW w:w="1186" w:type="dxa"/>
            <w:shd w:val="clear" w:color="auto" w:fill="auto"/>
            <w:vAlign w:val="center"/>
          </w:tcPr>
          <w:p>
            <w:pPr>
              <w:jc w:val="center"/>
              <w:rPr>
                <w:rFonts w:hint="eastAsia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lang w:val="en-US" w:eastAsia="zh-CN"/>
              </w:rPr>
              <w:t>—</w:t>
            </w:r>
          </w:p>
        </w:tc>
        <w:tc>
          <w:tcPr>
            <w:tcW w:w="1178" w:type="dxa"/>
            <w:shd w:val="clear" w:color="auto" w:fill="auto"/>
            <w:vAlign w:val="center"/>
          </w:tcPr>
          <w:p>
            <w:pPr>
              <w:jc w:val="center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lang w:val="en-US" w:eastAsia="zh-CN"/>
              </w:rPr>
              <w:t>180</w:t>
            </w:r>
          </w:p>
        </w:tc>
        <w:tc>
          <w:tcPr>
            <w:tcW w:w="1454" w:type="dxa"/>
            <w:shd w:val="clear" w:color="auto" w:fill="auto"/>
            <w:vAlign w:val="center"/>
          </w:tcPr>
          <w:p>
            <w:pPr>
              <w:jc w:val="center"/>
              <w:rPr>
                <w:rFonts w:hint="eastAsia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lang w:val="en-US" w:eastAsia="zh-CN"/>
              </w:rPr>
              <w:t>正常</w:t>
            </w:r>
          </w:p>
        </w:tc>
        <w:tc>
          <w:tcPr>
            <w:tcW w:w="2464" w:type="dxa"/>
            <w:shd w:val="clear" w:color="auto" w:fill="auto"/>
            <w:vAlign w:val="center"/>
          </w:tcPr>
          <w:p>
            <w:pPr>
              <w:jc w:val="center"/>
              <w:rPr>
                <w:rFonts w:hint="eastAsia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lang w:val="en-US" w:eastAsia="zh-CN"/>
              </w:rPr>
              <w:t>交易所调入</w:t>
            </w:r>
          </w:p>
        </w:tc>
      </w:tr>
      <w:tr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500" w:hRule="atLeast"/>
          <w:jc w:val="center"/>
        </w:trPr>
        <w:tc>
          <w:tcPr>
            <w:tcW w:w="1237" w:type="dxa"/>
            <w:shd w:val="clear" w:color="auto" w:fill="auto"/>
            <w:vAlign w:val="center"/>
          </w:tcPr>
          <w:p>
            <w:pPr>
              <w:jc w:val="center"/>
              <w:rPr>
                <w:rFonts w:hint="eastAsia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lang w:val="en-US" w:eastAsia="zh-CN"/>
              </w:rPr>
              <w:t>920229.bj</w:t>
            </w:r>
          </w:p>
        </w:tc>
        <w:tc>
          <w:tcPr>
            <w:tcW w:w="1303" w:type="dxa"/>
            <w:shd w:val="clear" w:color="auto" w:fill="auto"/>
            <w:vAlign w:val="center"/>
          </w:tcPr>
          <w:p>
            <w:pPr>
              <w:jc w:val="center"/>
              <w:rPr>
                <w:rFonts w:hint="eastAsia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lang w:val="en-US" w:eastAsia="zh-CN"/>
              </w:rPr>
              <w:t>世纪数码</w:t>
            </w:r>
          </w:p>
        </w:tc>
        <w:tc>
          <w:tcPr>
            <w:tcW w:w="1186" w:type="dxa"/>
            <w:shd w:val="clear" w:color="auto" w:fill="auto"/>
            <w:vAlign w:val="center"/>
          </w:tcPr>
          <w:p>
            <w:pPr>
              <w:jc w:val="center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lang w:val="en-US" w:eastAsia="zh-CN"/>
              </w:rPr>
              <w:t>180</w:t>
            </w:r>
          </w:p>
        </w:tc>
        <w:tc>
          <w:tcPr>
            <w:tcW w:w="1178" w:type="dxa"/>
            <w:shd w:val="clear" w:color="auto" w:fill="auto"/>
            <w:vAlign w:val="center"/>
          </w:tcPr>
          <w:p>
            <w:pPr>
              <w:jc w:val="center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lang w:val="en-US" w:eastAsia="zh-CN"/>
              </w:rPr>
              <w:t>160</w:t>
            </w:r>
          </w:p>
        </w:tc>
        <w:tc>
          <w:tcPr>
            <w:tcW w:w="1454" w:type="dxa"/>
            <w:shd w:val="clear" w:color="auto" w:fill="auto"/>
            <w:vAlign w:val="center"/>
          </w:tcPr>
          <w:p>
            <w:pPr>
              <w:jc w:val="center"/>
              <w:rPr>
                <w:rFonts w:hint="eastAsia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lang w:val="en-US" w:eastAsia="zh-CN"/>
              </w:rPr>
              <w:t>正常</w:t>
            </w:r>
          </w:p>
        </w:tc>
        <w:tc>
          <w:tcPr>
            <w:tcW w:w="2464" w:type="dxa"/>
            <w:shd w:val="clear" w:color="auto" w:fill="auto"/>
            <w:vAlign w:val="center"/>
          </w:tcPr>
          <w:p>
            <w:pPr>
              <w:jc w:val="center"/>
              <w:rPr>
                <w:rFonts w:hint="eastAsia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lang w:val="en-US" w:eastAsia="zh-CN"/>
              </w:rPr>
              <w:t>北交所证券上市第2个交易日融资保证金比例调整</w:t>
            </w:r>
          </w:p>
        </w:tc>
      </w:tr>
      <w:tr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500" w:hRule="atLeast"/>
          <w:jc w:val="center"/>
        </w:trPr>
        <w:tc>
          <w:tcPr>
            <w:tcW w:w="1237" w:type="dxa"/>
            <w:shd w:val="clear" w:color="auto" w:fill="auto"/>
            <w:vAlign w:val="center"/>
          </w:tcPr>
          <w:p>
            <w:pPr>
              <w:jc w:val="center"/>
              <w:rPr>
                <w:rFonts w:hint="eastAsia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688837.sh</w:t>
            </w:r>
          </w:p>
        </w:tc>
        <w:tc>
          <w:tcPr>
            <w:tcW w:w="1303" w:type="dxa"/>
            <w:shd w:val="clear" w:color="auto" w:fill="auto"/>
            <w:vAlign w:val="center"/>
          </w:tcPr>
          <w:p>
            <w:pPr>
              <w:jc w:val="center"/>
              <w:rPr>
                <w:rFonts w:hint="eastAsia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信诺维</w:t>
            </w:r>
          </w:p>
        </w:tc>
        <w:tc>
          <w:tcPr>
            <w:tcW w:w="1186" w:type="dxa"/>
            <w:shd w:val="clear" w:color="auto" w:fill="auto"/>
            <w:vAlign w:val="center"/>
          </w:tcPr>
          <w:p>
            <w:pPr>
              <w:jc w:val="center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lang w:val="en-US" w:eastAsia="zh-CN"/>
              </w:rPr>
              <w:t>130</w:t>
            </w:r>
          </w:p>
        </w:tc>
        <w:tc>
          <w:tcPr>
            <w:tcW w:w="1178" w:type="dxa"/>
            <w:shd w:val="clear" w:color="auto" w:fill="auto"/>
            <w:vAlign w:val="center"/>
          </w:tcPr>
          <w:p>
            <w:pPr>
              <w:jc w:val="center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lang w:val="en-US" w:eastAsia="zh-CN"/>
              </w:rPr>
              <w:t>100</w:t>
            </w:r>
          </w:p>
        </w:tc>
        <w:tc>
          <w:tcPr>
            <w:tcW w:w="1454" w:type="dxa"/>
            <w:shd w:val="clear" w:color="auto" w:fill="auto"/>
            <w:vAlign w:val="center"/>
          </w:tcPr>
          <w:p>
            <w:pPr>
              <w:jc w:val="center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lang w:val="en-US" w:eastAsia="zh-CN"/>
              </w:rPr>
              <w:t>正常</w:t>
            </w:r>
          </w:p>
        </w:tc>
        <w:tc>
          <w:tcPr>
            <w:tcW w:w="2464" w:type="dxa"/>
            <w:shd w:val="clear" w:color="auto" w:fill="auto"/>
            <w:vAlign w:val="center"/>
          </w:tcPr>
          <w:p>
            <w:pPr>
              <w:jc w:val="center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lang w:val="en-US" w:eastAsia="zh-CN"/>
              </w:rPr>
              <w:t>注册制双创板上市第6个交易日融资保证金比例调整</w:t>
            </w:r>
          </w:p>
        </w:tc>
      </w:tr>
    </w:tbl>
    <w:p>
      <w:pPr>
        <w:jc w:val="left"/>
        <w:rPr>
          <w:rFonts w:hint="eastAsia"/>
          <w:sz w:val="21"/>
          <w:szCs w:val="21"/>
          <w:lang w:eastAsia="zh-CN"/>
        </w:rPr>
      </w:pPr>
      <w:bookmarkStart w:id="0" w:name="_GoBack"/>
      <w:bookmarkEnd w:id="0"/>
    </w:p>
    <w:p>
      <w:pPr>
        <w:pStyle w:val="2"/>
        <w:keepNext w:val="0"/>
        <w:keepLines w:val="0"/>
        <w:widowControl/>
        <w:suppressLineNumbers w:val="0"/>
        <w:jc w:val="left"/>
        <w:rPr>
          <w:rFonts w:hint="eastAsia"/>
          <w:sz w:val="21"/>
          <w:szCs w:val="21"/>
        </w:rPr>
      </w:pPr>
      <w:r>
        <w:rPr>
          <w:rFonts w:asciiTheme="minorHAnsi" w:hAnsiTheme="minorHAnsi" w:eastAsiaTheme="minorEastAsia" w:cstheme="minorBidi"/>
          <w:kern w:val="2"/>
          <w:sz w:val="21"/>
          <w:szCs w:val="21"/>
          <w:lang w:val="en-US" w:eastAsia="zh-CN" w:bidi="ar-SA"/>
        </w:rPr>
        <w:t>担保状态作废或停用的不再计保证金可用余额</w:t>
      </w:r>
      <w:r>
        <w:rPr>
          <w:rFonts w:hint="eastAsia" w:cstheme="minorBidi"/>
          <w:kern w:val="2"/>
          <w:sz w:val="21"/>
          <w:szCs w:val="21"/>
          <w:lang w:val="en-US" w:eastAsia="zh-CN" w:bidi="ar-SA"/>
        </w:rPr>
        <w:t>。</w:t>
      </w:r>
    </w:p>
    <w:p>
      <w:pPr>
        <w:pStyle w:val="2"/>
        <w:keepNext w:val="0"/>
        <w:keepLines w:val="0"/>
        <w:widowControl/>
        <w:suppressLineNumbers w:val="0"/>
        <w:jc w:val="right"/>
        <w:rPr>
          <w:sz w:val="21"/>
          <w:szCs w:val="21"/>
        </w:rPr>
      </w:pPr>
      <w:r>
        <w:rPr>
          <w:rFonts w:hint="eastAsia"/>
          <w:sz w:val="21"/>
          <w:szCs w:val="21"/>
        </w:rPr>
        <w:t>民生证券股份有限公司</w:t>
      </w:r>
    </w:p>
    <w:p>
      <w:pPr>
        <w:pStyle w:val="2"/>
        <w:keepNext w:val="0"/>
        <w:keepLines w:val="0"/>
        <w:widowControl/>
        <w:suppressLineNumbers w:val="0"/>
        <w:jc w:val="right"/>
      </w:pPr>
      <w:r>
        <w:rPr>
          <w:rFonts w:hint="eastAsia"/>
          <w:sz w:val="21"/>
          <w:szCs w:val="21"/>
          <w:lang w:val="en-US" w:eastAsia="zh-CN"/>
        </w:rPr>
        <w:t>2026</w:t>
      </w:r>
      <w:r>
        <w:rPr>
          <w:rFonts w:hint="eastAsia"/>
          <w:sz w:val="21"/>
          <w:szCs w:val="21"/>
        </w:rPr>
        <w:t>年</w:t>
      </w:r>
      <w:r>
        <w:rPr>
          <w:rFonts w:hint="eastAsia"/>
          <w:sz w:val="21"/>
          <w:szCs w:val="21"/>
          <w:lang w:val="en-US" w:eastAsia="zh-CN"/>
        </w:rPr>
        <w:t>9</w:t>
      </w:r>
      <w:r>
        <w:rPr>
          <w:rFonts w:hint="eastAsia"/>
          <w:sz w:val="21"/>
          <w:szCs w:val="21"/>
        </w:rPr>
        <w:t>月</w:t>
      </w:r>
      <w:r>
        <w:rPr>
          <w:rFonts w:hint="eastAsia"/>
          <w:sz w:val="21"/>
          <w:szCs w:val="21"/>
          <w:lang w:val="en-US" w:eastAsia="zh-CN"/>
        </w:rPr>
        <w:t>23</w:t>
      </w:r>
      <w:r>
        <w:rPr>
          <w:rFonts w:hint="eastAsia"/>
          <w:sz w:val="21"/>
          <w:szCs w:val="21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DE14725"/>
    <w:rsid w:val="00025027"/>
    <w:rsid w:val="02964667"/>
    <w:rsid w:val="090D2D0F"/>
    <w:rsid w:val="09DB7CD3"/>
    <w:rsid w:val="10C9339A"/>
    <w:rsid w:val="11695086"/>
    <w:rsid w:val="180E766B"/>
    <w:rsid w:val="1A423A43"/>
    <w:rsid w:val="1AF960EC"/>
    <w:rsid w:val="234C123D"/>
    <w:rsid w:val="28417546"/>
    <w:rsid w:val="2BCA7478"/>
    <w:rsid w:val="2CAF5DFA"/>
    <w:rsid w:val="2E587A56"/>
    <w:rsid w:val="33922E50"/>
    <w:rsid w:val="3F08030E"/>
    <w:rsid w:val="44B5608A"/>
    <w:rsid w:val="50AC2097"/>
    <w:rsid w:val="51A0259F"/>
    <w:rsid w:val="549E4B42"/>
    <w:rsid w:val="55C94ECA"/>
    <w:rsid w:val="58CB03BF"/>
    <w:rsid w:val="592B3782"/>
    <w:rsid w:val="6094534D"/>
    <w:rsid w:val="626B6948"/>
    <w:rsid w:val="63280165"/>
    <w:rsid w:val="698A2FFF"/>
    <w:rsid w:val="6DA57193"/>
    <w:rsid w:val="6DE14725"/>
    <w:rsid w:val="75CC0400"/>
    <w:rsid w:val="760D2537"/>
    <w:rsid w:val="77BA6586"/>
    <w:rsid w:val="7B8442D5"/>
    <w:rsid w:val="7E721E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5">
    <w:name w:val="Strong"/>
    <w:basedOn w:val="4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Office_11.8.2.12085_F1E327BC-269C-435d-A152-05C5408002CA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2025-06-11T01:47:00Z</dcterms:created>
  <dc:creator>zouyu</dc:creator>
  <cp:lastModifiedBy>juyijuan</cp:lastModifiedBy>
  <dcterms:modified xsi:type="dcterms:W3CDTF">2026-09-23T01:28:09Z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2052-11.8.2.12085</vt:lpwstr>
  </property>
  <property fmtid="{D5CDD505-2E9C-101B-9397-08002B2CF9AE}" pid="3" name="ICV">
    <vt:lpwstr>78DF96879E5C47E0B7D9A9C9633411BD</vt:lpwstr>
  </property>
</Properties>
</file>