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D8C30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宋体" w:hAnsi="宋体" w:eastAsia="宋体" w:cs="宋体"/>
          <w:sz w:val="32"/>
          <w:szCs w:val="32"/>
        </w:rPr>
        <w:t>可充抵保证金证券、折算率变动</w:t>
      </w:r>
    </w:p>
    <w:p w14:paraId="2EA5D49B">
      <w:pPr>
        <w:jc w:val="left"/>
        <w:rPr>
          <w:rFonts w:hint="eastAsia"/>
          <w:sz w:val="21"/>
          <w:szCs w:val="21"/>
          <w:lang w:eastAsia="zh-CN"/>
        </w:rPr>
      </w:pPr>
      <w:r>
        <w:rPr>
          <w:sz w:val="21"/>
          <w:szCs w:val="21"/>
        </w:rPr>
        <w:t>根据交易所公示信息</w:t>
      </w:r>
      <w:r>
        <w:rPr>
          <w:rFonts w:hint="eastAsia"/>
          <w:sz w:val="21"/>
          <w:szCs w:val="21"/>
          <w:lang w:eastAsia="zh-CN"/>
        </w:rPr>
        <w:t>，</w:t>
      </w:r>
      <w:r>
        <w:rPr>
          <w:sz w:val="21"/>
          <w:szCs w:val="21"/>
        </w:rPr>
        <w:t>按照我公司相关规定</w:t>
      </w:r>
      <w:r>
        <w:rPr>
          <w:rFonts w:hint="eastAsia"/>
          <w:sz w:val="21"/>
          <w:szCs w:val="21"/>
          <w:lang w:eastAsia="zh-CN"/>
        </w:rPr>
        <w:t>，</w:t>
      </w:r>
      <w:r>
        <w:rPr>
          <w:sz w:val="21"/>
          <w:szCs w:val="21"/>
        </w:rPr>
        <w:t>对可充抵保证金证券及担保物进行了调整</w:t>
      </w:r>
      <w:r>
        <w:rPr>
          <w:rFonts w:hint="eastAsia"/>
          <w:sz w:val="21"/>
          <w:szCs w:val="21"/>
          <w:lang w:eastAsia="zh-CN"/>
        </w:rPr>
        <w:t>。</w:t>
      </w:r>
      <w:r>
        <w:rPr>
          <w:sz w:val="21"/>
          <w:szCs w:val="21"/>
        </w:rPr>
        <w:t>调整后内容见下文</w:t>
      </w:r>
      <w:r>
        <w:rPr>
          <w:rFonts w:hint="eastAsia"/>
          <w:sz w:val="21"/>
          <w:szCs w:val="21"/>
          <w:lang w:eastAsia="zh-CN"/>
        </w:rPr>
        <w:t>：</w:t>
      </w:r>
    </w:p>
    <w:tbl>
      <w:tblPr>
        <w:tblStyle w:val="3"/>
        <w:tblpPr w:leftFromText="180" w:rightFromText="180" w:vertAnchor="text" w:horzAnchor="page" w:tblpX="223" w:tblpY="468"/>
        <w:tblOverlap w:val="never"/>
        <w:tblW w:w="11445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14"/>
        <w:gridCol w:w="924"/>
        <w:gridCol w:w="936"/>
        <w:gridCol w:w="964"/>
        <w:gridCol w:w="999"/>
        <w:gridCol w:w="1045"/>
        <w:gridCol w:w="810"/>
        <w:gridCol w:w="718"/>
        <w:gridCol w:w="701"/>
        <w:gridCol w:w="989"/>
        <w:gridCol w:w="2445"/>
      </w:tblGrid>
      <w:tr w14:paraId="5378BD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4" w:hRule="atLeast"/>
        </w:trPr>
        <w:tc>
          <w:tcPr>
            <w:tcW w:w="914" w:type="dxa"/>
            <w:shd w:val="clear" w:color="auto" w:fill="auto"/>
            <w:vAlign w:val="center"/>
          </w:tcPr>
          <w:p w14:paraId="71B555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证券代码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2C0D65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证券简称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13CC3F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调整前标准折算率(%)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86B26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调整前公司折算率(%)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7B667E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调整后标准折算率(%)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4FC7E9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调整后公司折算率(%)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57A69BC"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</w:rPr>
              <w:t>调整前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分组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074E661">
            <w:pPr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调整后分组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3BE73E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担保状态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95381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担保物价值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561E2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原因</w:t>
            </w:r>
          </w:p>
        </w:tc>
      </w:tr>
      <w:tr w14:paraId="79534A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atLeast"/>
        </w:trPr>
        <w:tc>
          <w:tcPr>
            <w:tcW w:w="914" w:type="dxa"/>
            <w:shd w:val="clear" w:color="auto" w:fill="auto"/>
            <w:vAlign w:val="center"/>
          </w:tcPr>
          <w:p w14:paraId="4D0826A9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158006.sz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61D494CB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化工博时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0FF054A9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6F5359E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3A521EB4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0759562C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49F005C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3EF06B3F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B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2FE113B2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正常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5D9B20F4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764DC6A0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交易所调入</w:t>
            </w:r>
          </w:p>
        </w:tc>
      </w:tr>
      <w:tr w14:paraId="1356B0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atLeast"/>
        </w:trPr>
        <w:tc>
          <w:tcPr>
            <w:tcW w:w="914" w:type="dxa"/>
            <w:shd w:val="clear" w:color="auto" w:fill="auto"/>
            <w:vAlign w:val="center"/>
          </w:tcPr>
          <w:p w14:paraId="5D7D139E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300125.sz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40A1B3B7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聆达股份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3E3A6677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E06B10D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4A372F32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65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7F949B8A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EB7048B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F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9674E8C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E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79499E96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正常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55F3ED5C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151F6ACC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摘*摘帽调入</w:t>
            </w:r>
          </w:p>
        </w:tc>
      </w:tr>
      <w:tr w14:paraId="2EE77B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atLeast"/>
        </w:trPr>
        <w:tc>
          <w:tcPr>
            <w:tcW w:w="914" w:type="dxa"/>
            <w:shd w:val="clear" w:color="auto" w:fill="auto"/>
            <w:vAlign w:val="center"/>
          </w:tcPr>
          <w:p w14:paraId="35F6F8A5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301707.sz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097E3434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展芯股份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7B9A3390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FD8E656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6BC01FBB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65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7F32EFD3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B3BD175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059DE1A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D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29DC3857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正常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C8DBD5E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0FA70CC6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交易所调入</w:t>
            </w:r>
          </w:p>
        </w:tc>
      </w:tr>
      <w:tr w14:paraId="355B20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atLeast"/>
        </w:trPr>
        <w:tc>
          <w:tcPr>
            <w:tcW w:w="914" w:type="dxa"/>
            <w:shd w:val="clear" w:color="auto" w:fill="auto"/>
            <w:vAlign w:val="center"/>
          </w:tcPr>
          <w:p w14:paraId="6253A538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508059.sh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2D1ED6E4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三峡REIT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58F1191E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548333B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3E892E05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20974846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5D45F09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8B2CE72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C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38468241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正常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5CBC1CE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0442D333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交易所调入</w:t>
            </w:r>
          </w:p>
        </w:tc>
      </w:tr>
      <w:tr w14:paraId="720025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atLeast"/>
        </w:trPr>
        <w:tc>
          <w:tcPr>
            <w:tcW w:w="914" w:type="dxa"/>
            <w:shd w:val="clear" w:color="auto" w:fill="auto"/>
            <w:vAlign w:val="center"/>
          </w:tcPr>
          <w:p w14:paraId="667CE66F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512420.sh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33D6F7F3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机械华安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6544B60A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1A1F1AD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28E36D6D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39309D2C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1E9149C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261CB51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B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20D26282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正常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214F5277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0C7BAB8E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交易所调入</w:t>
            </w:r>
          </w:p>
        </w:tc>
      </w:tr>
      <w:tr w14:paraId="316BDE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atLeast"/>
        </w:trPr>
        <w:tc>
          <w:tcPr>
            <w:tcW w:w="914" w:type="dxa"/>
            <w:shd w:val="clear" w:color="auto" w:fill="auto"/>
            <w:vAlign w:val="center"/>
          </w:tcPr>
          <w:p w14:paraId="2508867B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561810.sh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4BFB350D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华泰医疗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7D5AAB63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4559C6F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754CB66B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2F311ED2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8A170FA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F72FA25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B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38B0266E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正常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67F500D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17657CDC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交易所调入</w:t>
            </w:r>
          </w:p>
        </w:tc>
      </w:tr>
      <w:tr w14:paraId="056154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atLeast"/>
        </w:trPr>
        <w:tc>
          <w:tcPr>
            <w:tcW w:w="914" w:type="dxa"/>
            <w:shd w:val="clear" w:color="auto" w:fill="auto"/>
            <w:vAlign w:val="center"/>
          </w:tcPr>
          <w:p w14:paraId="644427EE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561890.sh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3FC5CA3C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A股E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1A476BA9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52F2EDE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50817F6C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5CC3E41A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7B85523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1DF90FC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B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1EF36D15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正常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341D73B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407E6AC9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交易所调入</w:t>
            </w:r>
          </w:p>
        </w:tc>
      </w:tr>
    </w:tbl>
    <w:p w14:paraId="371811B4">
      <w:pPr>
        <w:jc w:val="left"/>
        <w:rPr>
          <w:rFonts w:hint="eastAsia"/>
          <w:sz w:val="21"/>
          <w:szCs w:val="21"/>
          <w:lang w:eastAsia="zh-CN"/>
        </w:rPr>
      </w:pPr>
    </w:p>
    <w:p w14:paraId="4EBE5907">
      <w:pPr>
        <w:jc w:val="left"/>
        <w:rPr>
          <w:rFonts w:hint="eastAsia"/>
          <w:sz w:val="21"/>
          <w:szCs w:val="21"/>
          <w:lang w:eastAsia="zh-CN"/>
        </w:rPr>
      </w:pPr>
    </w:p>
    <w:p w14:paraId="2A2F0989">
      <w:pPr>
        <w:pStyle w:val="2"/>
        <w:keepNext w:val="0"/>
        <w:keepLines w:val="0"/>
        <w:widowControl/>
        <w:suppressLineNumbers w:val="0"/>
        <w:jc w:val="left"/>
        <w:rPr>
          <w:rFonts w:hint="eastAsia" w:cstheme="minorBidi"/>
          <w:kern w:val="2"/>
          <w:sz w:val="21"/>
          <w:szCs w:val="21"/>
          <w:lang w:val="en-US" w:eastAsia="zh-CN" w:bidi="ar-SA"/>
        </w:rPr>
      </w:pPr>
      <w:r>
        <w:rPr>
          <w:rFonts w:asciiTheme="minorHAnsi" w:hAnsiTheme="minorHAnsi" w:eastAsiaTheme="minorEastAsia" w:cstheme="minorBidi"/>
          <w:kern w:val="2"/>
          <w:sz w:val="21"/>
          <w:szCs w:val="21"/>
          <w:lang w:val="en-US" w:eastAsia="zh-CN" w:bidi="ar-SA"/>
        </w:rPr>
        <w:t>担保状态作废或停用的不再计保证金可用余额</w:t>
      </w:r>
      <w:r>
        <w:rPr>
          <w:rFonts w:hint="eastAsia" w:cstheme="minorBidi"/>
          <w:kern w:val="2"/>
          <w:sz w:val="21"/>
          <w:szCs w:val="21"/>
          <w:lang w:val="en-US" w:eastAsia="zh-CN" w:bidi="ar-SA"/>
        </w:rPr>
        <w:t>。</w:t>
      </w:r>
    </w:p>
    <w:p w14:paraId="1DBEEE0D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 w:ascii="宋体" w:hAnsi="宋体" w:eastAsia="宋体" w:cs="宋体"/>
          <w:sz w:val="32"/>
          <w:szCs w:val="32"/>
        </w:rPr>
        <w:t>标的</w:t>
      </w:r>
      <w:r>
        <w:rPr>
          <w:rStyle w:val="5"/>
          <w:rFonts w:hint="eastAsia" w:ascii="宋体" w:hAnsi="宋体" w:eastAsia="宋体" w:cs="宋体"/>
          <w:sz w:val="32"/>
          <w:szCs w:val="32"/>
          <w:lang w:val="en-US" w:eastAsia="zh-CN"/>
        </w:rPr>
        <w:t>证</w:t>
      </w:r>
      <w:r>
        <w:rPr>
          <w:rStyle w:val="5"/>
          <w:rFonts w:hint="eastAsia" w:ascii="宋体" w:hAnsi="宋体" w:eastAsia="宋体" w:cs="宋体"/>
          <w:sz w:val="32"/>
          <w:szCs w:val="32"/>
        </w:rPr>
        <w:t>券变动</w:t>
      </w:r>
    </w:p>
    <w:p w14:paraId="73F0FA94">
      <w:pPr>
        <w:jc w:val="left"/>
        <w:rPr>
          <w:rFonts w:hint="eastAsia"/>
          <w:sz w:val="21"/>
          <w:szCs w:val="21"/>
          <w:lang w:eastAsia="zh-CN"/>
        </w:rPr>
      </w:pPr>
      <w:r>
        <w:rPr>
          <w:sz w:val="21"/>
          <w:szCs w:val="21"/>
        </w:rPr>
        <w:t>根据交易所公示信息</w:t>
      </w:r>
      <w:r>
        <w:rPr>
          <w:rFonts w:hint="eastAsia"/>
          <w:sz w:val="21"/>
          <w:szCs w:val="21"/>
          <w:lang w:eastAsia="zh-CN"/>
        </w:rPr>
        <w:t>，</w:t>
      </w:r>
      <w:r>
        <w:rPr>
          <w:sz w:val="21"/>
          <w:szCs w:val="21"/>
        </w:rPr>
        <w:t>按照我公司相关规定</w:t>
      </w:r>
      <w:r>
        <w:rPr>
          <w:rFonts w:hint="eastAsia"/>
          <w:sz w:val="21"/>
          <w:szCs w:val="21"/>
          <w:lang w:eastAsia="zh-CN"/>
        </w:rPr>
        <w:t>，</w:t>
      </w:r>
      <w:r>
        <w:rPr>
          <w:sz w:val="21"/>
          <w:szCs w:val="21"/>
        </w:rPr>
        <w:t>对融资融券标的证券及保证金比例进行调整</w:t>
      </w:r>
      <w:r>
        <w:rPr>
          <w:rFonts w:hint="eastAsia"/>
          <w:sz w:val="21"/>
          <w:szCs w:val="21"/>
          <w:lang w:eastAsia="zh-CN"/>
        </w:rPr>
        <w:t>，</w:t>
      </w:r>
      <w:r>
        <w:rPr>
          <w:sz w:val="21"/>
          <w:szCs w:val="21"/>
        </w:rPr>
        <w:t>调整后内容见下文</w:t>
      </w:r>
      <w:r>
        <w:rPr>
          <w:rFonts w:hint="eastAsia"/>
          <w:sz w:val="21"/>
          <w:szCs w:val="21"/>
          <w:lang w:eastAsia="zh-CN"/>
        </w:rPr>
        <w:t>：</w:t>
      </w:r>
    </w:p>
    <w:tbl>
      <w:tblPr>
        <w:tblStyle w:val="3"/>
        <w:tblW w:w="8822" w:type="dxa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37"/>
        <w:gridCol w:w="1303"/>
        <w:gridCol w:w="1186"/>
        <w:gridCol w:w="1178"/>
        <w:gridCol w:w="1454"/>
        <w:gridCol w:w="2464"/>
      </w:tblGrid>
      <w:tr w14:paraId="67E381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37" w:type="dxa"/>
            <w:shd w:val="clear" w:color="auto" w:fill="auto"/>
            <w:vAlign w:val="center"/>
          </w:tcPr>
          <w:p w14:paraId="7138D794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证券代码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A6360EA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证券简称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08E2957B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调整前融资保证金比例(%)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50634AAB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调整后融资保证金比例(%)</w:t>
            </w:r>
          </w:p>
        </w:tc>
        <w:tc>
          <w:tcPr>
            <w:tcW w:w="1454" w:type="dxa"/>
            <w:shd w:val="clear" w:color="auto" w:fill="auto"/>
            <w:vAlign w:val="center"/>
          </w:tcPr>
          <w:p w14:paraId="25BCD54D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状态</w:t>
            </w:r>
          </w:p>
        </w:tc>
        <w:tc>
          <w:tcPr>
            <w:tcW w:w="2464" w:type="dxa"/>
            <w:shd w:val="clear" w:color="auto" w:fill="auto"/>
            <w:vAlign w:val="center"/>
          </w:tcPr>
          <w:p w14:paraId="09B6555D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原因</w:t>
            </w:r>
          </w:p>
        </w:tc>
      </w:tr>
      <w:tr w14:paraId="4DF8D0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  <w:jc w:val="center"/>
        </w:trPr>
        <w:tc>
          <w:tcPr>
            <w:tcW w:w="1237" w:type="dxa"/>
            <w:shd w:val="clear" w:color="auto" w:fill="auto"/>
            <w:vAlign w:val="center"/>
          </w:tcPr>
          <w:p w14:paraId="4AC49CD1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301707.sz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B38353B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展芯股份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028EB555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—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28DDA3EF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130</w:t>
            </w:r>
          </w:p>
        </w:tc>
        <w:tc>
          <w:tcPr>
            <w:tcW w:w="1454" w:type="dxa"/>
            <w:shd w:val="clear" w:color="auto" w:fill="auto"/>
            <w:vAlign w:val="center"/>
          </w:tcPr>
          <w:p w14:paraId="3685C78E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正常</w:t>
            </w:r>
          </w:p>
        </w:tc>
        <w:tc>
          <w:tcPr>
            <w:tcW w:w="2464" w:type="dxa"/>
            <w:shd w:val="clear" w:color="auto" w:fill="auto"/>
            <w:vAlign w:val="center"/>
          </w:tcPr>
          <w:p w14:paraId="0275FC4F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交易所调入</w:t>
            </w:r>
          </w:p>
        </w:tc>
      </w:tr>
    </w:tbl>
    <w:p w14:paraId="0EB5501E">
      <w:pPr>
        <w:jc w:val="left"/>
        <w:rPr>
          <w:rFonts w:hint="eastAsia"/>
          <w:sz w:val="21"/>
          <w:szCs w:val="21"/>
          <w:lang w:eastAsia="zh-CN"/>
        </w:rPr>
      </w:pPr>
    </w:p>
    <w:p w14:paraId="298F5AE6">
      <w:pPr>
        <w:jc w:val="left"/>
        <w:rPr>
          <w:rFonts w:hint="eastAsia"/>
          <w:sz w:val="21"/>
          <w:szCs w:val="21"/>
          <w:lang w:eastAsia="zh-CN"/>
        </w:rPr>
      </w:pPr>
    </w:p>
    <w:p w14:paraId="6A727024">
      <w:pPr>
        <w:jc w:val="left"/>
        <w:rPr>
          <w:rFonts w:hint="eastAsia" w:cstheme="minorBidi"/>
          <w:kern w:val="2"/>
          <w:sz w:val="21"/>
          <w:szCs w:val="21"/>
          <w:lang w:val="en-US" w:eastAsia="zh-CN" w:bidi="ar-SA"/>
        </w:rPr>
      </w:pPr>
      <w:r>
        <w:rPr>
          <w:rFonts w:asciiTheme="minorHAnsi" w:hAnsiTheme="minorHAnsi" w:eastAsiaTheme="minorEastAsia" w:cstheme="minorBidi"/>
          <w:kern w:val="2"/>
          <w:sz w:val="21"/>
          <w:szCs w:val="21"/>
          <w:lang w:val="en-US" w:eastAsia="zh-CN" w:bidi="ar-SA"/>
        </w:rPr>
        <w:t>担保状态作废或停用的不再计保证金可用余额</w:t>
      </w:r>
      <w:r>
        <w:rPr>
          <w:rFonts w:hint="eastAsia" w:cstheme="minorBidi"/>
          <w:kern w:val="2"/>
          <w:sz w:val="21"/>
          <w:szCs w:val="21"/>
          <w:lang w:val="en-US" w:eastAsia="zh-CN" w:bidi="ar-SA"/>
        </w:rPr>
        <w:t>。</w:t>
      </w:r>
    </w:p>
    <w:p w14:paraId="32165F91">
      <w:pPr>
        <w:pStyle w:val="2"/>
        <w:keepNext w:val="0"/>
        <w:keepLines w:val="0"/>
        <w:widowControl/>
        <w:suppressLineNumbers w:val="0"/>
        <w:jc w:val="right"/>
        <w:rPr>
          <w:rStyle w:val="5"/>
          <w:rFonts w:hint="eastAsia" w:ascii="宋体" w:hAnsi="宋体" w:eastAsia="宋体" w:cs="宋体"/>
          <w:sz w:val="24"/>
          <w:szCs w:val="24"/>
        </w:rPr>
      </w:pPr>
      <w:r>
        <w:rPr>
          <w:rStyle w:val="5"/>
          <w:rFonts w:hint="eastAsia" w:ascii="宋体" w:hAnsi="宋体" w:eastAsia="宋体" w:cs="宋体"/>
          <w:sz w:val="24"/>
          <w:szCs w:val="24"/>
        </w:rPr>
        <w:t>民生证券股份有限公司</w:t>
      </w:r>
    </w:p>
    <w:p w14:paraId="4DDDA291">
      <w:pPr>
        <w:pStyle w:val="2"/>
        <w:keepNext w:val="0"/>
        <w:keepLines w:val="0"/>
        <w:widowControl/>
        <w:suppressLineNumbers w:val="0"/>
        <w:jc w:val="right"/>
        <w:rPr>
          <w:rStyle w:val="5"/>
          <w:rFonts w:hint="eastAsia" w:ascii="宋体" w:hAnsi="宋体" w:eastAsia="宋体" w:cs="宋体"/>
          <w:sz w:val="24"/>
          <w:szCs w:val="24"/>
        </w:rPr>
      </w:pPr>
      <w:r>
        <w:rPr>
          <w:rStyle w:val="5"/>
          <w:rFonts w:hint="eastAsia" w:ascii="宋体" w:hAnsi="宋体" w:eastAsia="宋体" w:cs="宋体"/>
          <w:sz w:val="24"/>
          <w:szCs w:val="24"/>
        </w:rPr>
        <w:t>202</w:t>
      </w:r>
      <w:r>
        <w:rPr>
          <w:rStyle w:val="5"/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Style w:val="5"/>
          <w:rFonts w:hint="eastAsia" w:ascii="宋体" w:hAnsi="宋体" w:eastAsia="宋体" w:cs="宋体"/>
          <w:sz w:val="24"/>
          <w:szCs w:val="24"/>
        </w:rPr>
        <w:t>年</w:t>
      </w:r>
      <w:r>
        <w:rPr>
          <w:rStyle w:val="5"/>
          <w:rFonts w:hint="eastAsia" w:ascii="宋体" w:hAnsi="宋体" w:eastAsia="宋体" w:cs="宋体"/>
          <w:sz w:val="24"/>
          <w:szCs w:val="24"/>
          <w:lang w:val="en-US" w:eastAsia="zh-CN"/>
        </w:rPr>
        <w:t>08</w:t>
      </w:r>
      <w:r>
        <w:rPr>
          <w:rStyle w:val="5"/>
          <w:rFonts w:hint="eastAsia" w:ascii="宋体" w:hAnsi="宋体" w:eastAsia="宋体" w:cs="宋体"/>
          <w:sz w:val="24"/>
          <w:szCs w:val="24"/>
        </w:rPr>
        <w:t>月</w:t>
      </w:r>
      <w:r>
        <w:rPr>
          <w:rStyle w:val="5"/>
          <w:rFonts w:hint="eastAsia" w:ascii="宋体" w:hAnsi="宋体" w:eastAsia="宋体" w:cs="宋体"/>
          <w:sz w:val="24"/>
          <w:szCs w:val="24"/>
          <w:lang w:val="en-US" w:eastAsia="zh-CN"/>
        </w:rPr>
        <w:t>0</w:t>
      </w:r>
      <w:bookmarkStart w:id="0" w:name="_GoBack"/>
      <w:r>
        <w:rPr>
          <w:rStyle w:val="5"/>
          <w:rFonts w:hint="eastAsia" w:ascii="宋体" w:hAnsi="宋体" w:eastAsia="宋体" w:cs="宋体"/>
          <w:sz w:val="24"/>
          <w:szCs w:val="24"/>
          <w:lang w:val="en-US" w:eastAsia="zh-CN"/>
        </w:rPr>
        <w:t>7</w:t>
      </w:r>
      <w:bookmarkEnd w:id="0"/>
      <w:r>
        <w:rPr>
          <w:rStyle w:val="5"/>
          <w:rFonts w:hint="eastAsia" w:ascii="宋体" w:hAnsi="宋体" w:eastAsia="宋体" w:cs="宋体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E14725"/>
    <w:rsid w:val="0037366E"/>
    <w:rsid w:val="00447833"/>
    <w:rsid w:val="008A4E26"/>
    <w:rsid w:val="00E951D3"/>
    <w:rsid w:val="010A65EE"/>
    <w:rsid w:val="01457570"/>
    <w:rsid w:val="01824A3F"/>
    <w:rsid w:val="01BD35AB"/>
    <w:rsid w:val="01F550A7"/>
    <w:rsid w:val="02467A44"/>
    <w:rsid w:val="02C73C15"/>
    <w:rsid w:val="030E718F"/>
    <w:rsid w:val="03CD2E68"/>
    <w:rsid w:val="04641540"/>
    <w:rsid w:val="06174073"/>
    <w:rsid w:val="067F1777"/>
    <w:rsid w:val="07824CA6"/>
    <w:rsid w:val="08080ED1"/>
    <w:rsid w:val="08216996"/>
    <w:rsid w:val="08667D0B"/>
    <w:rsid w:val="08FA2581"/>
    <w:rsid w:val="09A21DF8"/>
    <w:rsid w:val="09C50F89"/>
    <w:rsid w:val="09DB7CD3"/>
    <w:rsid w:val="0A5F764F"/>
    <w:rsid w:val="0A9D5ED9"/>
    <w:rsid w:val="0AE14217"/>
    <w:rsid w:val="0B04224A"/>
    <w:rsid w:val="0B0B7327"/>
    <w:rsid w:val="0B7F7DA3"/>
    <w:rsid w:val="0B964F80"/>
    <w:rsid w:val="0BC96FF0"/>
    <w:rsid w:val="0BD7170D"/>
    <w:rsid w:val="0BD8249D"/>
    <w:rsid w:val="0C0557AE"/>
    <w:rsid w:val="0C57284E"/>
    <w:rsid w:val="0CDD3C2D"/>
    <w:rsid w:val="0D416433"/>
    <w:rsid w:val="0D841421"/>
    <w:rsid w:val="0E1E7C98"/>
    <w:rsid w:val="0E260CBC"/>
    <w:rsid w:val="0E487449"/>
    <w:rsid w:val="0EDD4F42"/>
    <w:rsid w:val="0F680FB2"/>
    <w:rsid w:val="0FC95A88"/>
    <w:rsid w:val="0FD824FF"/>
    <w:rsid w:val="109076E7"/>
    <w:rsid w:val="10B314F5"/>
    <w:rsid w:val="10F071C4"/>
    <w:rsid w:val="113851C9"/>
    <w:rsid w:val="116B3023"/>
    <w:rsid w:val="11AD363C"/>
    <w:rsid w:val="11C57C11"/>
    <w:rsid w:val="120654FF"/>
    <w:rsid w:val="122D36A1"/>
    <w:rsid w:val="126A33A9"/>
    <w:rsid w:val="131C6A35"/>
    <w:rsid w:val="131D0060"/>
    <w:rsid w:val="13D605EA"/>
    <w:rsid w:val="13E75935"/>
    <w:rsid w:val="14022AD8"/>
    <w:rsid w:val="140343F0"/>
    <w:rsid w:val="14161FE8"/>
    <w:rsid w:val="14F04DBE"/>
    <w:rsid w:val="151A11AA"/>
    <w:rsid w:val="15672C79"/>
    <w:rsid w:val="15D849FF"/>
    <w:rsid w:val="15EA6350"/>
    <w:rsid w:val="16AF67D2"/>
    <w:rsid w:val="177B1687"/>
    <w:rsid w:val="180E766B"/>
    <w:rsid w:val="195814C6"/>
    <w:rsid w:val="1A524340"/>
    <w:rsid w:val="1A803F9F"/>
    <w:rsid w:val="1AD503BF"/>
    <w:rsid w:val="1AE259D8"/>
    <w:rsid w:val="1AF960EC"/>
    <w:rsid w:val="1B217BC6"/>
    <w:rsid w:val="1B593BE2"/>
    <w:rsid w:val="1CBF7099"/>
    <w:rsid w:val="1CE2281B"/>
    <w:rsid w:val="1CE617B0"/>
    <w:rsid w:val="1D17405F"/>
    <w:rsid w:val="1D54729E"/>
    <w:rsid w:val="1D614F74"/>
    <w:rsid w:val="1DAF3FE4"/>
    <w:rsid w:val="1E5223E8"/>
    <w:rsid w:val="1E9324BD"/>
    <w:rsid w:val="1EE87437"/>
    <w:rsid w:val="1F234F3D"/>
    <w:rsid w:val="207B1E59"/>
    <w:rsid w:val="208E06D9"/>
    <w:rsid w:val="209954D1"/>
    <w:rsid w:val="20CE1F71"/>
    <w:rsid w:val="21366C21"/>
    <w:rsid w:val="21A5351C"/>
    <w:rsid w:val="21A97B16"/>
    <w:rsid w:val="21C46C8E"/>
    <w:rsid w:val="21D16C49"/>
    <w:rsid w:val="224A7003"/>
    <w:rsid w:val="22953638"/>
    <w:rsid w:val="22A27888"/>
    <w:rsid w:val="22BA77A5"/>
    <w:rsid w:val="23230A23"/>
    <w:rsid w:val="23320C49"/>
    <w:rsid w:val="234C123D"/>
    <w:rsid w:val="237A0EA4"/>
    <w:rsid w:val="239C6A65"/>
    <w:rsid w:val="24026F0E"/>
    <w:rsid w:val="25487ED3"/>
    <w:rsid w:val="256D6F65"/>
    <w:rsid w:val="258653DA"/>
    <w:rsid w:val="25F25E07"/>
    <w:rsid w:val="26371AAB"/>
    <w:rsid w:val="26954DA5"/>
    <w:rsid w:val="26D0702D"/>
    <w:rsid w:val="273D51DD"/>
    <w:rsid w:val="277A6C23"/>
    <w:rsid w:val="27A9587B"/>
    <w:rsid w:val="281B38E8"/>
    <w:rsid w:val="28417546"/>
    <w:rsid w:val="28BA4916"/>
    <w:rsid w:val="28E61309"/>
    <w:rsid w:val="28F90ABD"/>
    <w:rsid w:val="29114058"/>
    <w:rsid w:val="29AB7F82"/>
    <w:rsid w:val="2BCA7478"/>
    <w:rsid w:val="2BF9495B"/>
    <w:rsid w:val="2C1B760D"/>
    <w:rsid w:val="2CA66AE1"/>
    <w:rsid w:val="2CAF5DFA"/>
    <w:rsid w:val="2D386CFD"/>
    <w:rsid w:val="2E183793"/>
    <w:rsid w:val="2E297AB0"/>
    <w:rsid w:val="2E466B55"/>
    <w:rsid w:val="2EC51C96"/>
    <w:rsid w:val="2FEF07A9"/>
    <w:rsid w:val="301601A6"/>
    <w:rsid w:val="305D382D"/>
    <w:rsid w:val="30AE2458"/>
    <w:rsid w:val="30D4797B"/>
    <w:rsid w:val="30E402A4"/>
    <w:rsid w:val="30E852C9"/>
    <w:rsid w:val="30F42CC0"/>
    <w:rsid w:val="31CF32F4"/>
    <w:rsid w:val="32D60319"/>
    <w:rsid w:val="32ED2AD7"/>
    <w:rsid w:val="33232BB2"/>
    <w:rsid w:val="33535D6E"/>
    <w:rsid w:val="337C2A16"/>
    <w:rsid w:val="33F9355C"/>
    <w:rsid w:val="343E5F1E"/>
    <w:rsid w:val="347C3FD8"/>
    <w:rsid w:val="34845F75"/>
    <w:rsid w:val="3587019A"/>
    <w:rsid w:val="35AA386B"/>
    <w:rsid w:val="35BC534C"/>
    <w:rsid w:val="36082740"/>
    <w:rsid w:val="36BD4910"/>
    <w:rsid w:val="37B24C58"/>
    <w:rsid w:val="37B2779E"/>
    <w:rsid w:val="37C07F3A"/>
    <w:rsid w:val="39E906DA"/>
    <w:rsid w:val="3A4540CC"/>
    <w:rsid w:val="3A920D71"/>
    <w:rsid w:val="3AD3351C"/>
    <w:rsid w:val="3B5C1CE6"/>
    <w:rsid w:val="3BB70A8F"/>
    <w:rsid w:val="3BC767F9"/>
    <w:rsid w:val="3C526DA1"/>
    <w:rsid w:val="3C5E2F66"/>
    <w:rsid w:val="3C676344"/>
    <w:rsid w:val="3DBD4389"/>
    <w:rsid w:val="3ED64E45"/>
    <w:rsid w:val="40680B7B"/>
    <w:rsid w:val="40A755BC"/>
    <w:rsid w:val="40B36837"/>
    <w:rsid w:val="41483F38"/>
    <w:rsid w:val="431428F8"/>
    <w:rsid w:val="431E09B1"/>
    <w:rsid w:val="432B5AF4"/>
    <w:rsid w:val="43B2534E"/>
    <w:rsid w:val="43B27117"/>
    <w:rsid w:val="43F315EB"/>
    <w:rsid w:val="442A6404"/>
    <w:rsid w:val="447D65EE"/>
    <w:rsid w:val="44B5608A"/>
    <w:rsid w:val="44CC6C2E"/>
    <w:rsid w:val="455652D3"/>
    <w:rsid w:val="45B465C7"/>
    <w:rsid w:val="45C215C5"/>
    <w:rsid w:val="46974C57"/>
    <w:rsid w:val="46B53F09"/>
    <w:rsid w:val="46CF4B6D"/>
    <w:rsid w:val="47B455EA"/>
    <w:rsid w:val="47D24206"/>
    <w:rsid w:val="48DB31CA"/>
    <w:rsid w:val="48DC4D4F"/>
    <w:rsid w:val="48F81480"/>
    <w:rsid w:val="498F4BA1"/>
    <w:rsid w:val="49EE5BB0"/>
    <w:rsid w:val="4A3B78C0"/>
    <w:rsid w:val="4A626580"/>
    <w:rsid w:val="4B546668"/>
    <w:rsid w:val="4B8B293F"/>
    <w:rsid w:val="4BA227C2"/>
    <w:rsid w:val="4CA27EB0"/>
    <w:rsid w:val="4CCD6AE2"/>
    <w:rsid w:val="4D2B590E"/>
    <w:rsid w:val="4D664E7D"/>
    <w:rsid w:val="4E494344"/>
    <w:rsid w:val="4E4A1CC4"/>
    <w:rsid w:val="4E790E2E"/>
    <w:rsid w:val="4E850579"/>
    <w:rsid w:val="4ECC2669"/>
    <w:rsid w:val="4F350C54"/>
    <w:rsid w:val="4FDD3E85"/>
    <w:rsid w:val="50704C68"/>
    <w:rsid w:val="507F274E"/>
    <w:rsid w:val="50C70EA0"/>
    <w:rsid w:val="50F87728"/>
    <w:rsid w:val="514A386E"/>
    <w:rsid w:val="51B605A1"/>
    <w:rsid w:val="520E5375"/>
    <w:rsid w:val="53DA3115"/>
    <w:rsid w:val="548E6E3C"/>
    <w:rsid w:val="54B24092"/>
    <w:rsid w:val="54BE2A37"/>
    <w:rsid w:val="54D9354A"/>
    <w:rsid w:val="55457FEF"/>
    <w:rsid w:val="560721BC"/>
    <w:rsid w:val="565E29AE"/>
    <w:rsid w:val="572665AE"/>
    <w:rsid w:val="58003672"/>
    <w:rsid w:val="58674894"/>
    <w:rsid w:val="58CB03BF"/>
    <w:rsid w:val="58FB739C"/>
    <w:rsid w:val="590C0DA9"/>
    <w:rsid w:val="59882670"/>
    <w:rsid w:val="5A395873"/>
    <w:rsid w:val="5ACB4CFE"/>
    <w:rsid w:val="5BA60262"/>
    <w:rsid w:val="5BD31161"/>
    <w:rsid w:val="5C903C84"/>
    <w:rsid w:val="5CB04083"/>
    <w:rsid w:val="5D831BB1"/>
    <w:rsid w:val="5D8F51E7"/>
    <w:rsid w:val="5DD878EA"/>
    <w:rsid w:val="5DF47CB1"/>
    <w:rsid w:val="5E99215D"/>
    <w:rsid w:val="5F60112E"/>
    <w:rsid w:val="5F9C7587"/>
    <w:rsid w:val="5FE06ACF"/>
    <w:rsid w:val="5FF9099C"/>
    <w:rsid w:val="60F458E4"/>
    <w:rsid w:val="61695350"/>
    <w:rsid w:val="62141E21"/>
    <w:rsid w:val="623A4E23"/>
    <w:rsid w:val="62835CAD"/>
    <w:rsid w:val="6300421A"/>
    <w:rsid w:val="630B5E2F"/>
    <w:rsid w:val="63E022EB"/>
    <w:rsid w:val="63FE69AC"/>
    <w:rsid w:val="64BB2AEF"/>
    <w:rsid w:val="657644C6"/>
    <w:rsid w:val="65FF62E3"/>
    <w:rsid w:val="66434BE7"/>
    <w:rsid w:val="66766ACE"/>
    <w:rsid w:val="66886EDA"/>
    <w:rsid w:val="668D5F18"/>
    <w:rsid w:val="66B45901"/>
    <w:rsid w:val="66DD7092"/>
    <w:rsid w:val="674A3A73"/>
    <w:rsid w:val="674C1365"/>
    <w:rsid w:val="67E81E4D"/>
    <w:rsid w:val="68881264"/>
    <w:rsid w:val="689E5A48"/>
    <w:rsid w:val="698A2FFF"/>
    <w:rsid w:val="6A7B230D"/>
    <w:rsid w:val="6A9C24DF"/>
    <w:rsid w:val="6B48006C"/>
    <w:rsid w:val="6B60619E"/>
    <w:rsid w:val="6B7E51B9"/>
    <w:rsid w:val="6B9E6039"/>
    <w:rsid w:val="6BA442DD"/>
    <w:rsid w:val="6BB02CD5"/>
    <w:rsid w:val="6C360175"/>
    <w:rsid w:val="6C3D4CCD"/>
    <w:rsid w:val="6C3F7A07"/>
    <w:rsid w:val="6C616D17"/>
    <w:rsid w:val="6CD14344"/>
    <w:rsid w:val="6DE14725"/>
    <w:rsid w:val="6DEC3D19"/>
    <w:rsid w:val="6E1B6319"/>
    <w:rsid w:val="6E4C47B8"/>
    <w:rsid w:val="6E92638A"/>
    <w:rsid w:val="6EB9166B"/>
    <w:rsid w:val="6EED7D49"/>
    <w:rsid w:val="6EF35DA5"/>
    <w:rsid w:val="6F1449D4"/>
    <w:rsid w:val="70123F6B"/>
    <w:rsid w:val="701C44A1"/>
    <w:rsid w:val="702C27FC"/>
    <w:rsid w:val="707F4466"/>
    <w:rsid w:val="70A065C7"/>
    <w:rsid w:val="711F7F62"/>
    <w:rsid w:val="713526D2"/>
    <w:rsid w:val="720C6FDE"/>
    <w:rsid w:val="7233629E"/>
    <w:rsid w:val="72590198"/>
    <w:rsid w:val="727059E7"/>
    <w:rsid w:val="733F2B3D"/>
    <w:rsid w:val="736D1458"/>
    <w:rsid w:val="73A9641E"/>
    <w:rsid w:val="73AD7C1A"/>
    <w:rsid w:val="73AE40F2"/>
    <w:rsid w:val="740B4724"/>
    <w:rsid w:val="74412DF2"/>
    <w:rsid w:val="749E5D04"/>
    <w:rsid w:val="74F91C79"/>
    <w:rsid w:val="75610820"/>
    <w:rsid w:val="759D68A1"/>
    <w:rsid w:val="75A03D67"/>
    <w:rsid w:val="75EC246C"/>
    <w:rsid w:val="76722B5E"/>
    <w:rsid w:val="769B6356"/>
    <w:rsid w:val="76B374A3"/>
    <w:rsid w:val="76D918F5"/>
    <w:rsid w:val="76D96E05"/>
    <w:rsid w:val="76E81CA4"/>
    <w:rsid w:val="77BA6586"/>
    <w:rsid w:val="77BB316E"/>
    <w:rsid w:val="7804445B"/>
    <w:rsid w:val="78393DA0"/>
    <w:rsid w:val="78C04974"/>
    <w:rsid w:val="79D93D98"/>
    <w:rsid w:val="7A735888"/>
    <w:rsid w:val="7AB60FB7"/>
    <w:rsid w:val="7AC47A01"/>
    <w:rsid w:val="7B163F23"/>
    <w:rsid w:val="7B5B297A"/>
    <w:rsid w:val="7C370855"/>
    <w:rsid w:val="7CA01E6C"/>
    <w:rsid w:val="7CAA4BDD"/>
    <w:rsid w:val="7CC66E08"/>
    <w:rsid w:val="7CD868E1"/>
    <w:rsid w:val="7CDE6F23"/>
    <w:rsid w:val="7CFF06D7"/>
    <w:rsid w:val="7DFB3490"/>
    <w:rsid w:val="7E721E04"/>
    <w:rsid w:val="7EB312C0"/>
    <w:rsid w:val="7EC565EC"/>
    <w:rsid w:val="7EC76B9B"/>
    <w:rsid w:val="7EDC3936"/>
    <w:rsid w:val="7F0C421B"/>
    <w:rsid w:val="7F77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496</Words>
  <Characters>640</Characters>
  <Lines>0</Lines>
  <Paragraphs>0</Paragraphs>
  <TotalTime>0</TotalTime>
  <ScaleCrop>false</ScaleCrop>
  <LinksUpToDate>false</LinksUpToDate>
  <CharactersWithSpaces>640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2025-06-11T01:47:00Z</dcterms:created>
  <dc:creator>zouyu</dc:creator>
  <cp:lastModifiedBy>邹玥</cp:lastModifiedBy>
  <dcterms:modified xsi:type="dcterms:W3CDTF">2026-08-07T01:09:00Z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8F63F99D453C4910931E8E3943307B83</vt:lpwstr>
  </property>
  <property fmtid="{D5CDD505-2E9C-101B-9397-08002B2CF9AE}" pid="4" name="KSOTemplateDocerSaveRecord">
    <vt:lpwstr>eyJoZGlkIjoiNmNlMTdhY2ZlY2M1M2RiMTc2NDJlNzUzY2QwY2E3ZmIiLCJ1c2VySWQiOiI1MTc1NjY5MjAifQ==</vt:lpwstr>
  </property>
</Properties>
</file>