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831188">
      <w:pPr>
        <w:pStyle w:val="3"/>
        <w:bidi w:val="0"/>
        <w:jc w:val="center"/>
        <w:rPr>
          <w:rFonts w:hint="eastAsia" w:ascii="仿宋" w:hAnsi="仿宋" w:eastAsia="仿宋" w:cs="仿宋"/>
          <w:i w:val="0"/>
          <w:iCs w:val="0"/>
          <w:caps w:val="0"/>
          <w:color w:val="252525"/>
          <w:spacing w:val="0"/>
          <w:sz w:val="21"/>
          <w:szCs w:val="21"/>
          <w:shd w:val="clear" w:fill="FFFFFF"/>
        </w:rPr>
      </w:pPr>
      <w:bookmarkStart w:id="0" w:name="OLE_LINK1"/>
      <w:bookmarkStart w:id="1" w:name="OLE_LINK2"/>
      <w:r>
        <w:rPr>
          <w:rFonts w:hint="eastAsia"/>
          <w:lang w:val="en-US" w:eastAsia="zh-CN"/>
        </w:rPr>
        <w:t>08</w:t>
      </w:r>
      <w:r>
        <w:rPr>
          <w:rFonts w:hint="eastAsia"/>
        </w:rPr>
        <w:t>月</w:t>
      </w:r>
      <w:r>
        <w:rPr>
          <w:rFonts w:hint="eastAsia"/>
          <w:lang w:val="en-US" w:eastAsia="zh-CN"/>
        </w:rPr>
        <w:t>06</w:t>
      </w:r>
      <w:r>
        <w:rPr>
          <w:rFonts w:hint="eastAsia"/>
        </w:rPr>
        <w:t>日关于调整信用账户担保品持仓集中度分组的通知</w:t>
      </w:r>
    </w:p>
    <w:p w14:paraId="1C122F45">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right="0" w:rightChars="0" w:firstLine="480" w:firstLineChars="2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我公司于08月06日对信用账户担保品持仓集中度分组进行了调整，调整后的分组证券名单见附件。</w:t>
      </w:r>
    </w:p>
    <w:p w14:paraId="6595A0BD">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right="0" w:rightChars="0" w:firstLine="480" w:firstLineChars="2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我公司现行信用账户担保品持仓集中度控制规则如下：</w:t>
      </w:r>
    </w:p>
    <w:p w14:paraId="62988ECB">
      <w:pPr>
        <w:pStyle w:val="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24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持仓集中度控制标准：</w:t>
      </w:r>
    </w:p>
    <w:tbl>
      <w:tblPr>
        <w:tblStyle w:val="5"/>
        <w:tblW w:w="8717"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46"/>
        <w:gridCol w:w="1146"/>
        <w:gridCol w:w="1146"/>
        <w:gridCol w:w="1146"/>
        <w:gridCol w:w="1146"/>
        <w:gridCol w:w="1146"/>
        <w:gridCol w:w="1146"/>
        <w:gridCol w:w="695"/>
      </w:tblGrid>
      <w:tr w14:paraId="66066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7" w:hRule="atLeast"/>
        </w:trPr>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92CEDF8">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证券分组</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D426DB1">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A</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137BBAF">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B</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AC03D5F">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C</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8F90D7E">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D</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265BE14">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E</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6486CB7">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E板块</w:t>
            </w:r>
          </w:p>
        </w:tc>
        <w:tc>
          <w:tcPr>
            <w:tcW w:w="69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D872CEC">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F</w:t>
            </w:r>
          </w:p>
        </w:tc>
      </w:tr>
      <w:tr w14:paraId="4DBFB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7" w:hRule="atLeast"/>
        </w:trPr>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AD53E83">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维保&lt;150%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C705F54">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100%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4855C06">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50%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9592B97">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40%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65F520B">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10%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21B0AAE">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37AAF3B">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0%</w:t>
            </w:r>
          </w:p>
        </w:tc>
        <w:tc>
          <w:tcPr>
            <w:tcW w:w="695"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63F043AE">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限制买入及担保品提交</w:t>
            </w:r>
          </w:p>
        </w:tc>
      </w:tr>
      <w:tr w14:paraId="4C786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2" w:hRule="atLeast"/>
        </w:trPr>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5755713">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150%≤维保&lt;180%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E1932AC">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100%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62122B2">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70%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30ABDC2">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60%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AFADBEF">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20%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0DEFF12">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5%</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AF1BE4C">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20%</w:t>
            </w:r>
          </w:p>
        </w:tc>
        <w:tc>
          <w:tcPr>
            <w:tcW w:w="695"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8B40A59">
            <w:pPr>
              <w:jc w:val="center"/>
              <w:rPr>
                <w:rFonts w:hint="eastAsia" w:ascii="仿宋" w:hAnsi="仿宋" w:eastAsia="仿宋" w:cs="仿宋"/>
                <w:b w:val="0"/>
                <w:bCs w:val="0"/>
                <w:i w:val="0"/>
                <w:iCs w:val="0"/>
                <w:color w:val="808080"/>
                <w:sz w:val="21"/>
                <w:szCs w:val="21"/>
                <w:u w:val="none"/>
              </w:rPr>
            </w:pPr>
          </w:p>
        </w:tc>
      </w:tr>
      <w:tr w14:paraId="6374C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2" w:hRule="atLeast"/>
        </w:trPr>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F4CF5C0">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180%≤维保&lt;240%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7FA269A">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100%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78FB93A">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100%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9EF9113">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80%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FEDEC64">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40%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E1C63ED">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10%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27C1B2D">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40%</w:t>
            </w:r>
          </w:p>
        </w:tc>
        <w:tc>
          <w:tcPr>
            <w:tcW w:w="695"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50C45B56">
            <w:pPr>
              <w:jc w:val="center"/>
              <w:rPr>
                <w:rFonts w:hint="eastAsia" w:ascii="仿宋" w:hAnsi="仿宋" w:eastAsia="仿宋" w:cs="仿宋"/>
                <w:b w:val="0"/>
                <w:bCs w:val="0"/>
                <w:i w:val="0"/>
                <w:iCs w:val="0"/>
                <w:color w:val="808080"/>
                <w:sz w:val="21"/>
                <w:szCs w:val="21"/>
                <w:u w:val="none"/>
              </w:rPr>
            </w:pPr>
          </w:p>
        </w:tc>
      </w:tr>
      <w:tr w14:paraId="0D0D8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2" w:hRule="atLeast"/>
        </w:trPr>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BFF6C97">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240%≤维保&lt;300%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FFA45EF">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100%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4B11752">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100%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D668832">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100%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AEE34C1">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60%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4AE3AC6">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20%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C272EC6">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60%</w:t>
            </w:r>
          </w:p>
        </w:tc>
        <w:tc>
          <w:tcPr>
            <w:tcW w:w="695"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287FB571">
            <w:pPr>
              <w:jc w:val="center"/>
              <w:rPr>
                <w:rFonts w:hint="eastAsia" w:ascii="仿宋" w:hAnsi="仿宋" w:eastAsia="仿宋" w:cs="仿宋"/>
                <w:b w:val="0"/>
                <w:bCs w:val="0"/>
                <w:i w:val="0"/>
                <w:iCs w:val="0"/>
                <w:color w:val="808080"/>
                <w:sz w:val="21"/>
                <w:szCs w:val="21"/>
                <w:u w:val="none"/>
              </w:rPr>
            </w:pPr>
          </w:p>
        </w:tc>
      </w:tr>
      <w:tr w14:paraId="11F90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2" w:hRule="atLeast"/>
        </w:trPr>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7F31E4A">
            <w:pPr>
              <w:keepNext w:val="0"/>
              <w:keepLines w:val="0"/>
              <w:widowControl/>
              <w:suppressLineNumbers w:val="0"/>
              <w:tabs>
                <w:tab w:val="left" w:pos="322"/>
              </w:tabs>
              <w:jc w:val="left"/>
              <w:textAlignment w:val="center"/>
              <w:rPr>
                <w:rFonts w:hint="eastAsia" w:ascii="仿宋" w:hAnsi="仿宋" w:eastAsia="仿宋" w:cs="仿宋"/>
                <w:b w:val="0"/>
                <w:bCs w:val="0"/>
                <w:i w:val="0"/>
                <w:iCs w:val="0"/>
                <w:color w:val="808080"/>
                <w:kern w:val="0"/>
                <w:sz w:val="21"/>
                <w:szCs w:val="21"/>
                <w:u w:val="none"/>
                <w:lang w:val="en-US" w:eastAsia="zh-CN" w:bidi="ar"/>
              </w:rPr>
            </w:pPr>
            <w:r>
              <w:rPr>
                <w:rFonts w:hint="eastAsia" w:ascii="仿宋" w:hAnsi="仿宋" w:eastAsia="仿宋" w:cs="仿宋"/>
                <w:b w:val="0"/>
                <w:bCs w:val="0"/>
                <w:i w:val="0"/>
                <w:iCs w:val="0"/>
                <w:color w:val="808080"/>
                <w:kern w:val="0"/>
                <w:sz w:val="21"/>
                <w:szCs w:val="21"/>
                <w:u w:val="none"/>
                <w:lang w:val="en-US" w:eastAsia="zh-CN" w:bidi="ar"/>
              </w:rPr>
              <w:t>300%≤维保&lt;400%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81AF8A6">
            <w:pPr>
              <w:keepNext w:val="0"/>
              <w:keepLines w:val="0"/>
              <w:widowControl/>
              <w:suppressLineNumbers w:val="0"/>
              <w:jc w:val="center"/>
              <w:textAlignment w:val="center"/>
              <w:rPr>
                <w:rFonts w:hint="eastAsia" w:ascii="仿宋" w:hAnsi="仿宋" w:eastAsia="仿宋" w:cs="仿宋"/>
                <w:b w:val="0"/>
                <w:bCs w:val="0"/>
                <w:i w:val="0"/>
                <w:iCs w:val="0"/>
                <w:color w:val="808080"/>
                <w:kern w:val="0"/>
                <w:sz w:val="21"/>
                <w:szCs w:val="21"/>
                <w:u w:val="none"/>
                <w:lang w:val="en-US" w:eastAsia="zh-CN" w:bidi="ar"/>
              </w:rPr>
            </w:pPr>
            <w:r>
              <w:rPr>
                <w:rFonts w:hint="eastAsia" w:ascii="仿宋" w:hAnsi="仿宋" w:eastAsia="仿宋" w:cs="仿宋"/>
                <w:b w:val="0"/>
                <w:bCs w:val="0"/>
                <w:i w:val="0"/>
                <w:iCs w:val="0"/>
                <w:color w:val="808080"/>
                <w:kern w:val="0"/>
                <w:sz w:val="21"/>
                <w:szCs w:val="21"/>
                <w:u w:val="none"/>
                <w:lang w:val="en-US" w:eastAsia="zh-CN" w:bidi="ar"/>
              </w:rPr>
              <w:t>100%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E7DCD7A">
            <w:pPr>
              <w:keepNext w:val="0"/>
              <w:keepLines w:val="0"/>
              <w:widowControl/>
              <w:suppressLineNumbers w:val="0"/>
              <w:jc w:val="center"/>
              <w:textAlignment w:val="center"/>
              <w:rPr>
                <w:rFonts w:hint="eastAsia" w:ascii="仿宋" w:hAnsi="仿宋" w:eastAsia="仿宋" w:cs="仿宋"/>
                <w:b w:val="0"/>
                <w:bCs w:val="0"/>
                <w:i w:val="0"/>
                <w:iCs w:val="0"/>
                <w:color w:val="808080"/>
                <w:kern w:val="0"/>
                <w:sz w:val="21"/>
                <w:szCs w:val="21"/>
                <w:u w:val="none"/>
                <w:lang w:val="en-US" w:eastAsia="zh-CN" w:bidi="ar"/>
              </w:rPr>
            </w:pPr>
            <w:r>
              <w:rPr>
                <w:rFonts w:hint="eastAsia" w:ascii="仿宋" w:hAnsi="仿宋" w:eastAsia="仿宋" w:cs="仿宋"/>
                <w:b w:val="0"/>
                <w:bCs w:val="0"/>
                <w:i w:val="0"/>
                <w:iCs w:val="0"/>
                <w:color w:val="808080"/>
                <w:kern w:val="0"/>
                <w:sz w:val="21"/>
                <w:szCs w:val="21"/>
                <w:u w:val="none"/>
                <w:lang w:val="en-US" w:eastAsia="zh-CN" w:bidi="ar"/>
              </w:rPr>
              <w:t>100%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8C3B823">
            <w:pPr>
              <w:keepNext w:val="0"/>
              <w:keepLines w:val="0"/>
              <w:widowControl/>
              <w:suppressLineNumbers w:val="0"/>
              <w:jc w:val="center"/>
              <w:textAlignment w:val="center"/>
              <w:rPr>
                <w:rFonts w:hint="eastAsia" w:ascii="仿宋" w:hAnsi="仿宋" w:eastAsia="仿宋" w:cs="仿宋"/>
                <w:b w:val="0"/>
                <w:bCs w:val="0"/>
                <w:i w:val="0"/>
                <w:iCs w:val="0"/>
                <w:color w:val="808080"/>
                <w:kern w:val="0"/>
                <w:sz w:val="21"/>
                <w:szCs w:val="21"/>
                <w:u w:val="none"/>
                <w:lang w:val="en-US" w:eastAsia="zh-CN" w:bidi="ar"/>
              </w:rPr>
            </w:pPr>
            <w:r>
              <w:rPr>
                <w:rFonts w:hint="eastAsia" w:ascii="仿宋" w:hAnsi="仿宋" w:eastAsia="仿宋" w:cs="仿宋"/>
                <w:b w:val="0"/>
                <w:bCs w:val="0"/>
                <w:i w:val="0"/>
                <w:iCs w:val="0"/>
                <w:color w:val="808080"/>
                <w:kern w:val="0"/>
                <w:sz w:val="21"/>
                <w:szCs w:val="21"/>
                <w:u w:val="none"/>
                <w:lang w:val="en-US" w:eastAsia="zh-CN" w:bidi="ar"/>
              </w:rPr>
              <w:t>100%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2051C63">
            <w:pPr>
              <w:keepNext w:val="0"/>
              <w:keepLines w:val="0"/>
              <w:widowControl/>
              <w:suppressLineNumbers w:val="0"/>
              <w:jc w:val="center"/>
              <w:textAlignment w:val="center"/>
              <w:rPr>
                <w:rFonts w:hint="default" w:ascii="仿宋" w:hAnsi="仿宋" w:eastAsia="仿宋" w:cs="仿宋"/>
                <w:b w:val="0"/>
                <w:bCs w:val="0"/>
                <w:i w:val="0"/>
                <w:iCs w:val="0"/>
                <w:color w:val="808080"/>
                <w:kern w:val="0"/>
                <w:sz w:val="21"/>
                <w:szCs w:val="21"/>
                <w:u w:val="none"/>
                <w:lang w:val="en-US" w:eastAsia="zh-CN" w:bidi="ar"/>
              </w:rPr>
            </w:pPr>
            <w:r>
              <w:rPr>
                <w:rFonts w:hint="eastAsia" w:ascii="仿宋" w:hAnsi="仿宋" w:eastAsia="仿宋" w:cs="仿宋"/>
                <w:b w:val="0"/>
                <w:bCs w:val="0"/>
                <w:i w:val="0"/>
                <w:iCs w:val="0"/>
                <w:color w:val="808080"/>
                <w:kern w:val="0"/>
                <w:sz w:val="21"/>
                <w:szCs w:val="21"/>
                <w:u w:val="none"/>
                <w:lang w:val="en-US" w:eastAsia="zh-CN" w:bidi="ar"/>
              </w:rPr>
              <w:t>80%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B96A9C5">
            <w:pPr>
              <w:keepNext w:val="0"/>
              <w:keepLines w:val="0"/>
              <w:widowControl/>
              <w:suppressLineNumbers w:val="0"/>
              <w:jc w:val="center"/>
              <w:textAlignment w:val="center"/>
              <w:rPr>
                <w:rFonts w:hint="default" w:ascii="仿宋" w:hAnsi="仿宋" w:eastAsia="仿宋" w:cs="仿宋"/>
                <w:b w:val="0"/>
                <w:bCs w:val="0"/>
                <w:i w:val="0"/>
                <w:iCs w:val="0"/>
                <w:color w:val="808080"/>
                <w:kern w:val="0"/>
                <w:sz w:val="21"/>
                <w:szCs w:val="21"/>
                <w:u w:val="none"/>
                <w:lang w:val="en-US" w:eastAsia="zh-CN" w:bidi="ar"/>
              </w:rPr>
            </w:pPr>
            <w:r>
              <w:rPr>
                <w:rFonts w:hint="eastAsia" w:ascii="仿宋" w:hAnsi="仿宋" w:eastAsia="仿宋" w:cs="仿宋"/>
                <w:b w:val="0"/>
                <w:bCs w:val="0"/>
                <w:i w:val="0"/>
                <w:iCs w:val="0"/>
                <w:color w:val="808080"/>
                <w:kern w:val="0"/>
                <w:sz w:val="21"/>
                <w:szCs w:val="21"/>
                <w:u w:val="none"/>
                <w:lang w:val="en-US" w:eastAsia="zh-CN" w:bidi="ar"/>
              </w:rPr>
              <w:t>30%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D610F22">
            <w:pPr>
              <w:keepNext w:val="0"/>
              <w:keepLines w:val="0"/>
              <w:widowControl/>
              <w:suppressLineNumbers w:val="0"/>
              <w:jc w:val="center"/>
              <w:textAlignment w:val="center"/>
              <w:rPr>
                <w:rFonts w:hint="eastAsia" w:ascii="仿宋" w:hAnsi="仿宋" w:eastAsia="仿宋" w:cs="仿宋"/>
                <w:b w:val="0"/>
                <w:bCs w:val="0"/>
                <w:i w:val="0"/>
                <w:iCs w:val="0"/>
                <w:color w:val="808080"/>
                <w:kern w:val="0"/>
                <w:sz w:val="21"/>
                <w:szCs w:val="21"/>
                <w:u w:val="none"/>
                <w:lang w:val="en-US" w:eastAsia="zh-CN" w:bidi="ar"/>
              </w:rPr>
            </w:pPr>
            <w:r>
              <w:rPr>
                <w:rFonts w:hint="eastAsia" w:ascii="仿宋" w:hAnsi="仿宋" w:eastAsia="仿宋" w:cs="仿宋"/>
                <w:b w:val="0"/>
                <w:bCs w:val="0"/>
                <w:i w:val="0"/>
                <w:iCs w:val="0"/>
                <w:color w:val="808080"/>
                <w:kern w:val="0"/>
                <w:sz w:val="21"/>
                <w:szCs w:val="21"/>
                <w:u w:val="none"/>
                <w:lang w:val="en-US" w:eastAsia="zh-CN" w:bidi="ar"/>
              </w:rPr>
              <w:t>60%</w:t>
            </w:r>
          </w:p>
        </w:tc>
        <w:tc>
          <w:tcPr>
            <w:tcW w:w="695"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1A980646">
            <w:pPr>
              <w:jc w:val="center"/>
              <w:rPr>
                <w:rFonts w:hint="eastAsia" w:ascii="仿宋" w:hAnsi="仿宋" w:eastAsia="仿宋" w:cs="仿宋"/>
                <w:b w:val="0"/>
                <w:bCs w:val="0"/>
                <w:i w:val="0"/>
                <w:iCs w:val="0"/>
                <w:color w:val="808080"/>
                <w:sz w:val="21"/>
                <w:szCs w:val="21"/>
                <w:u w:val="none"/>
              </w:rPr>
            </w:pPr>
          </w:p>
        </w:tc>
      </w:tr>
      <w:tr w14:paraId="5461C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DA56465">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维保≥400%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5572F08">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100%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037CA1E">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100%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61EC01F">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100%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7A0FCD8">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100%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C07CEAF">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100%</w:t>
            </w:r>
          </w:p>
        </w:tc>
        <w:tc>
          <w:tcPr>
            <w:tcW w:w="114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BA78C04">
            <w:pPr>
              <w:keepNext w:val="0"/>
              <w:keepLines w:val="0"/>
              <w:widowControl/>
              <w:suppressLineNumbers w:val="0"/>
              <w:jc w:val="center"/>
              <w:textAlignment w:val="center"/>
              <w:rPr>
                <w:rFonts w:hint="eastAsia" w:ascii="仿宋" w:hAnsi="仿宋" w:eastAsia="仿宋" w:cs="仿宋"/>
                <w:b w:val="0"/>
                <w:bCs w:val="0"/>
                <w:i w:val="0"/>
                <w:iCs w:val="0"/>
                <w:color w:val="808080"/>
                <w:sz w:val="21"/>
                <w:szCs w:val="21"/>
                <w:u w:val="none"/>
              </w:rPr>
            </w:pPr>
            <w:r>
              <w:rPr>
                <w:rFonts w:hint="eastAsia" w:ascii="仿宋" w:hAnsi="仿宋" w:eastAsia="仿宋" w:cs="仿宋"/>
                <w:b w:val="0"/>
                <w:bCs w:val="0"/>
                <w:i w:val="0"/>
                <w:iCs w:val="0"/>
                <w:color w:val="808080"/>
                <w:kern w:val="0"/>
                <w:sz w:val="21"/>
                <w:szCs w:val="21"/>
                <w:u w:val="none"/>
                <w:lang w:val="en-US" w:eastAsia="zh-CN" w:bidi="ar"/>
              </w:rPr>
              <w:t>100%</w:t>
            </w:r>
          </w:p>
        </w:tc>
        <w:tc>
          <w:tcPr>
            <w:tcW w:w="695"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3D6088B9">
            <w:pPr>
              <w:jc w:val="center"/>
              <w:rPr>
                <w:rFonts w:hint="eastAsia" w:ascii="仿宋" w:hAnsi="仿宋" w:eastAsia="仿宋" w:cs="仿宋"/>
                <w:b w:val="0"/>
                <w:bCs w:val="0"/>
                <w:i w:val="0"/>
                <w:iCs w:val="0"/>
                <w:color w:val="808080"/>
                <w:sz w:val="21"/>
                <w:szCs w:val="21"/>
                <w:u w:val="none"/>
              </w:rPr>
            </w:pPr>
          </w:p>
        </w:tc>
      </w:tr>
    </w:tbl>
    <w:p w14:paraId="49C3B73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240"/>
        <w:rPr>
          <w:rFonts w:hint="eastAsia" w:ascii="仿宋" w:hAnsi="仿宋" w:eastAsia="仿宋" w:cs="仿宋"/>
          <w:i w:val="0"/>
          <w:iCs w:val="0"/>
          <w:caps w:val="0"/>
          <w:spacing w:val="0"/>
          <w:sz w:val="21"/>
          <w:szCs w:val="21"/>
        </w:rPr>
      </w:pPr>
      <w:r>
        <w:rPr>
          <w:rStyle w:val="7"/>
          <w:rFonts w:hint="eastAsia" w:ascii="仿宋" w:hAnsi="仿宋" w:eastAsia="仿宋" w:cs="仿宋"/>
          <w:b/>
          <w:bCs/>
          <w:i w:val="0"/>
          <w:iCs w:val="0"/>
          <w:caps w:val="0"/>
          <w:color w:val="252525"/>
          <w:spacing w:val="0"/>
          <w:sz w:val="21"/>
          <w:szCs w:val="21"/>
          <w:shd w:val="clear" w:fill="FFFFFF"/>
        </w:rPr>
        <w:t>注意事项：</w:t>
      </w:r>
    </w:p>
    <w:p w14:paraId="32D7DB8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240"/>
        <w:rPr>
          <w:rFonts w:hint="eastAsia" w:ascii="仿宋" w:hAnsi="仿宋" w:eastAsia="仿宋" w:cs="仿宋"/>
          <w:i w:val="0"/>
          <w:iCs w:val="0"/>
          <w:caps w:val="0"/>
          <w:spacing w:val="0"/>
          <w:sz w:val="21"/>
          <w:szCs w:val="21"/>
        </w:rPr>
      </w:pPr>
      <w:r>
        <w:rPr>
          <w:rFonts w:hint="eastAsia" w:ascii="仿宋" w:hAnsi="仿宋" w:eastAsia="仿宋" w:cs="仿宋"/>
          <w:i w:val="0"/>
          <w:iCs w:val="0"/>
          <w:caps w:val="0"/>
          <w:color w:val="252525"/>
          <w:spacing w:val="0"/>
          <w:sz w:val="21"/>
          <w:szCs w:val="21"/>
          <w:shd w:val="clear" w:fill="FFFFFF"/>
        </w:rPr>
        <w:t>1、本公告所指的单一证券持仓集中度为投资者信用账户持有的单一证券持仓市值（含在途委托）占信用账户总资产（含在途委托）的比例。</w:t>
      </w:r>
    </w:p>
    <w:p w14:paraId="76C5301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240"/>
        <w:rPr>
          <w:rFonts w:hint="eastAsia" w:ascii="仿宋" w:hAnsi="仿宋" w:eastAsia="仿宋" w:cs="仿宋"/>
          <w:i w:val="0"/>
          <w:iCs w:val="0"/>
          <w:caps w:val="0"/>
          <w:spacing w:val="0"/>
          <w:sz w:val="21"/>
          <w:szCs w:val="21"/>
        </w:rPr>
      </w:pPr>
      <w:r>
        <w:rPr>
          <w:rFonts w:hint="eastAsia" w:ascii="仿宋" w:hAnsi="仿宋" w:eastAsia="仿宋" w:cs="仿宋"/>
          <w:i w:val="0"/>
          <w:iCs w:val="0"/>
          <w:caps w:val="0"/>
          <w:color w:val="252525"/>
          <w:spacing w:val="0"/>
          <w:sz w:val="21"/>
          <w:szCs w:val="21"/>
          <w:shd w:val="clear" w:fill="FFFFFF"/>
        </w:rPr>
        <w:t>本公告所指的E组证券板块集中度为投资者信用账户持有的所属集中度分组为“E”的全部证券市值总和（含在途委托）占信用账户总资产（含在途委托）的比例。</w:t>
      </w:r>
    </w:p>
    <w:p w14:paraId="1DC3FE1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240"/>
        <w:rPr>
          <w:rFonts w:hint="eastAsia" w:ascii="仿宋" w:hAnsi="仿宋" w:eastAsia="仿宋" w:cs="仿宋"/>
          <w:i w:val="0"/>
          <w:iCs w:val="0"/>
          <w:caps w:val="0"/>
          <w:spacing w:val="0"/>
          <w:sz w:val="21"/>
          <w:szCs w:val="21"/>
        </w:rPr>
      </w:pPr>
      <w:r>
        <w:rPr>
          <w:rFonts w:hint="eastAsia" w:ascii="仿宋" w:hAnsi="仿宋" w:eastAsia="仿宋" w:cs="仿宋"/>
          <w:i w:val="0"/>
          <w:iCs w:val="0"/>
          <w:caps w:val="0"/>
          <w:color w:val="252525"/>
          <w:spacing w:val="0"/>
          <w:sz w:val="21"/>
          <w:szCs w:val="21"/>
          <w:shd w:val="clear" w:fill="FFFFFF"/>
        </w:rPr>
        <w:t>单一证券持仓集中度控制和E组证券板块持仓集中度控制均为前端包含控制，担保物买入、融资买入委托时进行校验，未通过校验则限制相应交易操作。</w:t>
      </w:r>
    </w:p>
    <w:p w14:paraId="11474CE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240"/>
        <w:rPr>
          <w:rFonts w:hint="eastAsia" w:ascii="仿宋" w:hAnsi="仿宋" w:eastAsia="仿宋" w:cs="仿宋"/>
          <w:i w:val="0"/>
          <w:iCs w:val="0"/>
          <w:caps w:val="0"/>
          <w:spacing w:val="0"/>
          <w:sz w:val="21"/>
          <w:szCs w:val="21"/>
        </w:rPr>
      </w:pPr>
      <w:r>
        <w:rPr>
          <w:rFonts w:hint="eastAsia" w:ascii="仿宋" w:hAnsi="仿宋" w:eastAsia="仿宋" w:cs="仿宋"/>
          <w:i w:val="0"/>
          <w:iCs w:val="0"/>
          <w:caps w:val="0"/>
          <w:color w:val="252525"/>
          <w:spacing w:val="0"/>
          <w:sz w:val="21"/>
          <w:szCs w:val="21"/>
          <w:shd w:val="clear" w:fill="FFFFFF"/>
        </w:rPr>
        <w:t>2、投资者新增委托融资买入或担保品买入后，信用账户持仓集中度应符合对应证券分组的上限要求。超过限制的投资者将委托失败，可通过提高维持担保比例等方式满足集中度要求。</w:t>
      </w:r>
    </w:p>
    <w:p w14:paraId="3961DF9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240"/>
        <w:rPr>
          <w:rFonts w:hint="eastAsia" w:ascii="仿宋" w:hAnsi="仿宋" w:eastAsia="仿宋" w:cs="仿宋"/>
          <w:i w:val="0"/>
          <w:iCs w:val="0"/>
          <w:caps w:val="0"/>
          <w:spacing w:val="0"/>
          <w:sz w:val="21"/>
          <w:szCs w:val="21"/>
        </w:rPr>
      </w:pPr>
      <w:r>
        <w:rPr>
          <w:rFonts w:hint="eastAsia" w:ascii="仿宋" w:hAnsi="仿宋" w:eastAsia="仿宋" w:cs="仿宋"/>
          <w:i w:val="0"/>
          <w:iCs w:val="0"/>
          <w:caps w:val="0"/>
          <w:color w:val="252525"/>
          <w:spacing w:val="0"/>
          <w:sz w:val="21"/>
          <w:szCs w:val="21"/>
          <w:shd w:val="clear" w:fill="FFFFFF"/>
        </w:rPr>
        <w:t>3、公司将对各分组证券进行定期及不定期的调整，具体查询</w:t>
      </w:r>
      <w:r>
        <w:rPr>
          <w:rFonts w:hint="eastAsia" w:ascii="仿宋" w:hAnsi="仿宋" w:eastAsia="仿宋" w:cs="仿宋"/>
          <w:i w:val="0"/>
          <w:iCs w:val="0"/>
          <w:caps w:val="0"/>
          <w:color w:val="252525"/>
          <w:spacing w:val="0"/>
          <w:sz w:val="21"/>
          <w:szCs w:val="21"/>
          <w:shd w:val="clear" w:fill="FFFFFF"/>
          <w:lang w:eastAsia="zh-CN"/>
        </w:rPr>
        <w:t>民生</w:t>
      </w:r>
      <w:r>
        <w:rPr>
          <w:rFonts w:hint="eastAsia" w:ascii="仿宋" w:hAnsi="仿宋" w:eastAsia="仿宋" w:cs="仿宋"/>
          <w:i w:val="0"/>
          <w:iCs w:val="0"/>
          <w:caps w:val="0"/>
          <w:color w:val="252525"/>
          <w:spacing w:val="0"/>
          <w:sz w:val="21"/>
          <w:szCs w:val="21"/>
          <w:shd w:val="clear" w:fill="FFFFFF"/>
          <w:lang w:val="en-US" w:eastAsia="zh-CN"/>
        </w:rPr>
        <w:t>证券</w:t>
      </w:r>
      <w:r>
        <w:rPr>
          <w:rFonts w:hint="eastAsia" w:ascii="仿宋" w:hAnsi="仿宋" w:eastAsia="仿宋" w:cs="仿宋"/>
          <w:i w:val="0"/>
          <w:iCs w:val="0"/>
          <w:caps w:val="0"/>
          <w:color w:val="252525"/>
          <w:spacing w:val="0"/>
          <w:sz w:val="21"/>
          <w:szCs w:val="21"/>
          <w:shd w:val="clear" w:fill="FFFFFF"/>
        </w:rPr>
        <w:t>官网。</w:t>
      </w:r>
    </w:p>
    <w:p w14:paraId="09A8903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240"/>
        <w:rPr>
          <w:rFonts w:hint="eastAsia" w:ascii="仿宋" w:hAnsi="仿宋" w:eastAsia="仿宋" w:cs="仿宋"/>
          <w:i w:val="0"/>
          <w:iCs w:val="0"/>
          <w:caps w:val="0"/>
          <w:color w:val="252525"/>
          <w:spacing w:val="0"/>
          <w:sz w:val="21"/>
          <w:szCs w:val="21"/>
          <w:shd w:val="clear" w:fill="FFFFFF"/>
        </w:rPr>
      </w:pPr>
      <w:r>
        <w:rPr>
          <w:rFonts w:hint="eastAsia" w:ascii="仿宋" w:hAnsi="仿宋" w:eastAsia="仿宋" w:cs="仿宋"/>
          <w:i w:val="0"/>
          <w:iCs w:val="0"/>
          <w:caps w:val="0"/>
          <w:color w:val="252525"/>
          <w:spacing w:val="0"/>
          <w:sz w:val="21"/>
          <w:szCs w:val="21"/>
          <w:shd w:val="clear" w:fill="FFFFFF"/>
        </w:rPr>
        <w:t>4、公司公布的证券分组，并不表明对有关证券的投资价值或投资者的收益作出明示或暗示的判断或保证，不构成任何投资的操作建议。</w:t>
      </w:r>
    </w:p>
    <w:p w14:paraId="58AE2E9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240"/>
        <w:rPr>
          <w:rFonts w:hint="eastAsia" w:ascii="仿宋" w:hAnsi="仿宋" w:eastAsia="仿宋" w:cs="仿宋"/>
          <w:i w:val="0"/>
          <w:iCs w:val="0"/>
          <w:caps w:val="0"/>
          <w:spacing w:val="0"/>
          <w:sz w:val="24"/>
          <w:szCs w:val="24"/>
        </w:rPr>
      </w:pPr>
      <w:r>
        <w:rPr>
          <w:rFonts w:hint="eastAsia" w:ascii="仿宋" w:hAnsi="仿宋" w:eastAsia="仿宋" w:cs="仿宋"/>
          <w:i w:val="0"/>
          <w:iCs w:val="0"/>
          <w:caps w:val="0"/>
          <w:color w:val="252525"/>
          <w:spacing w:val="0"/>
          <w:sz w:val="24"/>
          <w:szCs w:val="24"/>
          <w:shd w:val="clear" w:fill="FFFFFF"/>
        </w:rPr>
        <w:t>二、提保集中度控制标准</w:t>
      </w:r>
    </w:p>
    <w:p w14:paraId="14C76F7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240"/>
        <w:rPr>
          <w:rFonts w:hint="eastAsia" w:ascii="仿宋" w:hAnsi="仿宋" w:eastAsia="仿宋" w:cs="仿宋"/>
          <w:i w:val="0"/>
          <w:iCs w:val="0"/>
          <w:caps w:val="0"/>
          <w:color w:val="252525"/>
          <w:spacing w:val="0"/>
          <w:sz w:val="24"/>
          <w:szCs w:val="24"/>
          <w:shd w:val="clear" w:fill="FFFFFF"/>
        </w:rPr>
      </w:pPr>
      <w:r>
        <w:rPr>
          <w:rFonts w:hint="eastAsia" w:ascii="仿宋" w:hAnsi="仿宋" w:eastAsia="仿宋" w:cs="仿宋"/>
          <w:i w:val="0"/>
          <w:iCs w:val="0"/>
          <w:caps w:val="0"/>
          <w:color w:val="252525"/>
          <w:spacing w:val="0"/>
          <w:sz w:val="24"/>
          <w:szCs w:val="24"/>
          <w:shd w:val="clear" w:fill="FFFFFF"/>
        </w:rPr>
        <w:t>客户提取担保物时,系统根据信用账户维持担保比例校验集中度，担保品</w:t>
      </w:r>
      <w:r>
        <w:rPr>
          <w:rFonts w:hint="eastAsia" w:ascii="仿宋" w:hAnsi="仿宋" w:eastAsia="仿宋" w:cs="仿宋"/>
          <w:i w:val="0"/>
          <w:iCs w:val="0"/>
          <w:caps w:val="0"/>
          <w:color w:val="252525"/>
          <w:spacing w:val="0"/>
          <w:sz w:val="24"/>
          <w:szCs w:val="24"/>
          <w:shd w:val="clear" w:fill="FFFFFF"/>
          <w:lang w:val="en-US" w:eastAsia="zh-CN"/>
        </w:rPr>
        <w:t>提取</w:t>
      </w:r>
      <w:r>
        <w:rPr>
          <w:rFonts w:hint="eastAsia" w:ascii="仿宋" w:hAnsi="仿宋" w:eastAsia="仿宋" w:cs="仿宋"/>
          <w:i w:val="0"/>
          <w:iCs w:val="0"/>
          <w:caps w:val="0"/>
          <w:color w:val="252525"/>
          <w:spacing w:val="0"/>
          <w:sz w:val="24"/>
          <w:szCs w:val="24"/>
          <w:shd w:val="clear" w:fill="FFFFFF"/>
        </w:rPr>
        <w:t>后的北交所板块集中度比例不得超过40%。</w:t>
      </w:r>
    </w:p>
    <w:p w14:paraId="36312A4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240"/>
        <w:rPr>
          <w:rFonts w:hint="eastAsia" w:ascii="仿宋" w:hAnsi="仿宋" w:eastAsia="仿宋" w:cs="仿宋"/>
          <w:i w:val="0"/>
          <w:iCs w:val="0"/>
          <w:caps w:val="0"/>
          <w:color w:val="252525"/>
          <w:spacing w:val="0"/>
          <w:sz w:val="24"/>
          <w:szCs w:val="24"/>
          <w:shd w:val="clear" w:fill="FFFFFF"/>
          <w:lang w:val="en-US" w:eastAsia="zh-CN"/>
        </w:rPr>
      </w:pPr>
      <w:r>
        <w:rPr>
          <w:rFonts w:hint="eastAsia" w:ascii="仿宋" w:hAnsi="仿宋" w:eastAsia="仿宋" w:cs="仿宋"/>
          <w:i w:val="0"/>
          <w:iCs w:val="0"/>
          <w:caps w:val="0"/>
          <w:color w:val="252525"/>
          <w:spacing w:val="0"/>
          <w:sz w:val="24"/>
          <w:szCs w:val="24"/>
          <w:shd w:val="clear" w:fill="FFFFFF"/>
        </w:rPr>
        <w:t>三、展期控制标准</w:t>
      </w:r>
    </w:p>
    <w:p w14:paraId="1D4F6F1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right="0" w:firstLine="480" w:firstLineChars="200"/>
        <w:rPr>
          <w:rFonts w:hint="eastAsia" w:ascii="仿宋" w:hAnsi="仿宋" w:eastAsia="仿宋" w:cs="仿宋"/>
          <w:i w:val="0"/>
          <w:iCs w:val="0"/>
          <w:caps w:val="0"/>
          <w:color w:val="252525"/>
          <w:spacing w:val="0"/>
          <w:sz w:val="24"/>
          <w:szCs w:val="24"/>
          <w:shd w:val="clear" w:fill="FFFFFF"/>
        </w:rPr>
      </w:pPr>
      <w:r>
        <w:rPr>
          <w:rFonts w:hint="eastAsia" w:ascii="仿宋" w:hAnsi="仿宋" w:eastAsia="仿宋" w:cs="仿宋"/>
          <w:i w:val="0"/>
          <w:iCs w:val="0"/>
          <w:caps w:val="0"/>
          <w:color w:val="252525"/>
          <w:spacing w:val="0"/>
          <w:sz w:val="24"/>
          <w:szCs w:val="24"/>
          <w:shd w:val="clear" w:fill="FFFFFF"/>
        </w:rPr>
        <w:t>客户申请展期时，系统前端对E组</w:t>
      </w:r>
      <w:r>
        <w:rPr>
          <w:rFonts w:hint="eastAsia" w:ascii="仿宋" w:hAnsi="仿宋" w:eastAsia="仿宋" w:cs="仿宋"/>
          <w:i w:val="0"/>
          <w:iCs w:val="0"/>
          <w:caps w:val="0"/>
          <w:color w:val="252525"/>
          <w:spacing w:val="0"/>
          <w:sz w:val="24"/>
          <w:szCs w:val="24"/>
          <w:shd w:val="clear" w:fill="FFFFFF"/>
          <w:lang w:eastAsia="zh-CN"/>
        </w:rPr>
        <w:t>、</w:t>
      </w:r>
      <w:r>
        <w:rPr>
          <w:rFonts w:hint="eastAsia" w:ascii="仿宋" w:hAnsi="仿宋" w:eastAsia="仿宋" w:cs="仿宋"/>
          <w:i w:val="0"/>
          <w:iCs w:val="0"/>
          <w:caps w:val="0"/>
          <w:color w:val="252525"/>
          <w:spacing w:val="0"/>
          <w:sz w:val="24"/>
          <w:szCs w:val="24"/>
          <w:shd w:val="clear" w:fill="FFFFFF"/>
        </w:rPr>
        <w:t>F组证券板块进行集中度限制判断，不符合标准的限制自动展期，具体控制阈值如下：</w:t>
      </w:r>
    </w:p>
    <w:tbl>
      <w:tblPr>
        <w:tblStyle w:val="5"/>
        <w:tblW w:w="8179"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69"/>
        <w:gridCol w:w="1182"/>
        <w:gridCol w:w="1182"/>
        <w:gridCol w:w="1182"/>
        <w:gridCol w:w="1182"/>
        <w:gridCol w:w="1182"/>
      </w:tblGrid>
      <w:tr w14:paraId="2A2AB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trPr>
        <w:tc>
          <w:tcPr>
            <w:tcW w:w="2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641DAD">
            <w:pPr>
              <w:keepNext w:val="0"/>
              <w:keepLines w:val="0"/>
              <w:widowControl/>
              <w:suppressLineNumbers w:val="0"/>
              <w:jc w:val="center"/>
              <w:textAlignment w:val="center"/>
              <w:rPr>
                <w:rFonts w:hint="eastAsia" w:ascii="仿宋" w:hAnsi="仿宋" w:eastAsia="仿宋" w:cs="仿宋"/>
                <w:i w:val="0"/>
                <w:iCs w:val="0"/>
                <w:caps w:val="0"/>
                <w:color w:val="252525"/>
                <w:spacing w:val="0"/>
                <w:kern w:val="0"/>
                <w:sz w:val="21"/>
                <w:szCs w:val="21"/>
                <w:shd w:val="clear" w:fill="FFFFFF"/>
                <w:lang w:val="en-US" w:eastAsia="zh-CN" w:bidi="ar"/>
              </w:rPr>
            </w:pPr>
            <w:r>
              <w:rPr>
                <w:rFonts w:hint="eastAsia" w:ascii="仿宋" w:hAnsi="仿宋" w:eastAsia="仿宋" w:cs="仿宋"/>
                <w:i w:val="0"/>
                <w:iCs w:val="0"/>
                <w:caps w:val="0"/>
                <w:color w:val="252525"/>
                <w:spacing w:val="0"/>
                <w:kern w:val="0"/>
                <w:sz w:val="21"/>
                <w:szCs w:val="21"/>
                <w:shd w:val="clear" w:fill="FFFFFF"/>
                <w:lang w:val="en-US" w:eastAsia="zh-CN" w:bidi="ar"/>
              </w:rPr>
              <w:t>维持担保比例(x)</w:t>
            </w: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CD4393">
            <w:pPr>
              <w:keepNext w:val="0"/>
              <w:keepLines w:val="0"/>
              <w:widowControl/>
              <w:suppressLineNumbers w:val="0"/>
              <w:jc w:val="center"/>
              <w:textAlignment w:val="center"/>
              <w:rPr>
                <w:rFonts w:hint="eastAsia" w:ascii="仿宋" w:hAnsi="仿宋" w:eastAsia="仿宋" w:cs="仿宋"/>
                <w:i w:val="0"/>
                <w:iCs w:val="0"/>
                <w:caps w:val="0"/>
                <w:color w:val="252525"/>
                <w:spacing w:val="0"/>
                <w:kern w:val="0"/>
                <w:sz w:val="21"/>
                <w:szCs w:val="21"/>
                <w:shd w:val="clear" w:fill="FFFFFF"/>
                <w:lang w:val="en-US" w:eastAsia="zh-CN" w:bidi="ar"/>
              </w:rPr>
            </w:pPr>
            <w:r>
              <w:rPr>
                <w:rFonts w:hint="eastAsia" w:ascii="仿宋" w:hAnsi="仿宋" w:eastAsia="仿宋" w:cs="仿宋"/>
                <w:i w:val="0"/>
                <w:iCs w:val="0"/>
                <w:caps w:val="0"/>
                <w:color w:val="252525"/>
                <w:spacing w:val="0"/>
                <w:kern w:val="0"/>
                <w:sz w:val="21"/>
                <w:szCs w:val="21"/>
                <w:shd w:val="clear" w:fill="FFFFFF"/>
                <w:lang w:val="en-US" w:eastAsia="zh-CN" w:bidi="ar"/>
              </w:rPr>
              <w:t>X≥400%</w:t>
            </w: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569B98">
            <w:pPr>
              <w:keepNext w:val="0"/>
              <w:keepLines w:val="0"/>
              <w:widowControl/>
              <w:suppressLineNumbers w:val="0"/>
              <w:jc w:val="center"/>
              <w:textAlignment w:val="center"/>
              <w:rPr>
                <w:rFonts w:hint="eastAsia" w:ascii="仿宋" w:hAnsi="仿宋" w:eastAsia="仿宋" w:cs="仿宋"/>
                <w:i w:val="0"/>
                <w:iCs w:val="0"/>
                <w:caps w:val="0"/>
                <w:color w:val="252525"/>
                <w:spacing w:val="0"/>
                <w:kern w:val="0"/>
                <w:sz w:val="21"/>
                <w:szCs w:val="21"/>
                <w:shd w:val="clear" w:fill="FFFFFF"/>
                <w:lang w:val="en-US" w:eastAsia="zh-CN" w:bidi="ar"/>
              </w:rPr>
            </w:pPr>
            <w:r>
              <w:rPr>
                <w:rFonts w:hint="eastAsia" w:ascii="仿宋" w:hAnsi="仿宋" w:eastAsia="仿宋" w:cs="仿宋"/>
                <w:i w:val="0"/>
                <w:iCs w:val="0"/>
                <w:caps w:val="0"/>
                <w:color w:val="252525"/>
                <w:spacing w:val="0"/>
                <w:kern w:val="0"/>
                <w:sz w:val="21"/>
                <w:szCs w:val="21"/>
                <w:shd w:val="clear" w:fill="FFFFFF"/>
                <w:lang w:val="en-US" w:eastAsia="zh-CN" w:bidi="ar"/>
              </w:rPr>
              <w:t>240%≤X＜400%</w:t>
            </w: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7DC86E">
            <w:pPr>
              <w:keepNext w:val="0"/>
              <w:keepLines w:val="0"/>
              <w:widowControl/>
              <w:suppressLineNumbers w:val="0"/>
              <w:jc w:val="center"/>
              <w:textAlignment w:val="center"/>
              <w:rPr>
                <w:rFonts w:hint="eastAsia" w:ascii="仿宋" w:hAnsi="仿宋" w:eastAsia="仿宋" w:cs="仿宋"/>
                <w:i w:val="0"/>
                <w:iCs w:val="0"/>
                <w:caps w:val="0"/>
                <w:color w:val="252525"/>
                <w:spacing w:val="0"/>
                <w:kern w:val="0"/>
                <w:sz w:val="21"/>
                <w:szCs w:val="21"/>
                <w:shd w:val="clear" w:fill="FFFFFF"/>
                <w:lang w:val="en-US" w:eastAsia="zh-CN" w:bidi="ar"/>
              </w:rPr>
            </w:pPr>
            <w:r>
              <w:rPr>
                <w:rFonts w:hint="eastAsia" w:ascii="仿宋" w:hAnsi="仿宋" w:eastAsia="仿宋" w:cs="仿宋"/>
                <w:i w:val="0"/>
                <w:iCs w:val="0"/>
                <w:caps w:val="0"/>
                <w:color w:val="252525"/>
                <w:spacing w:val="0"/>
                <w:kern w:val="0"/>
                <w:sz w:val="21"/>
                <w:szCs w:val="21"/>
                <w:shd w:val="clear" w:fill="FFFFFF"/>
                <w:lang w:val="en-US" w:eastAsia="zh-CN" w:bidi="ar"/>
              </w:rPr>
              <w:t>180%≤X＜240%</w:t>
            </w: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F3DC71">
            <w:pPr>
              <w:keepNext w:val="0"/>
              <w:keepLines w:val="0"/>
              <w:widowControl/>
              <w:suppressLineNumbers w:val="0"/>
              <w:jc w:val="center"/>
              <w:textAlignment w:val="center"/>
              <w:rPr>
                <w:rFonts w:hint="eastAsia" w:ascii="仿宋" w:hAnsi="仿宋" w:eastAsia="仿宋" w:cs="仿宋"/>
                <w:i w:val="0"/>
                <w:iCs w:val="0"/>
                <w:caps w:val="0"/>
                <w:color w:val="252525"/>
                <w:spacing w:val="0"/>
                <w:kern w:val="0"/>
                <w:sz w:val="21"/>
                <w:szCs w:val="21"/>
                <w:shd w:val="clear" w:fill="FFFFFF"/>
                <w:lang w:val="en-US" w:eastAsia="zh-CN" w:bidi="ar"/>
              </w:rPr>
            </w:pPr>
            <w:r>
              <w:rPr>
                <w:rFonts w:hint="eastAsia" w:ascii="仿宋" w:hAnsi="仿宋" w:eastAsia="仿宋" w:cs="仿宋"/>
                <w:i w:val="0"/>
                <w:iCs w:val="0"/>
                <w:caps w:val="0"/>
                <w:color w:val="252525"/>
                <w:spacing w:val="0"/>
                <w:kern w:val="0"/>
                <w:sz w:val="21"/>
                <w:szCs w:val="21"/>
                <w:shd w:val="clear" w:fill="FFFFFF"/>
                <w:lang w:val="en-US" w:eastAsia="zh-CN" w:bidi="ar"/>
              </w:rPr>
              <w:t>150%≤X＜180%</w:t>
            </w: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AF271E">
            <w:pPr>
              <w:keepNext w:val="0"/>
              <w:keepLines w:val="0"/>
              <w:widowControl/>
              <w:suppressLineNumbers w:val="0"/>
              <w:jc w:val="center"/>
              <w:textAlignment w:val="center"/>
              <w:rPr>
                <w:rFonts w:hint="eastAsia" w:ascii="仿宋" w:hAnsi="仿宋" w:eastAsia="仿宋" w:cs="仿宋"/>
                <w:i w:val="0"/>
                <w:iCs w:val="0"/>
                <w:caps w:val="0"/>
                <w:color w:val="252525"/>
                <w:spacing w:val="0"/>
                <w:kern w:val="0"/>
                <w:sz w:val="21"/>
                <w:szCs w:val="21"/>
                <w:shd w:val="clear" w:fill="FFFFFF"/>
                <w:lang w:val="en-US" w:eastAsia="zh-CN" w:bidi="ar"/>
              </w:rPr>
            </w:pPr>
            <w:r>
              <w:rPr>
                <w:rFonts w:hint="eastAsia" w:ascii="仿宋" w:hAnsi="仿宋" w:eastAsia="仿宋" w:cs="仿宋"/>
                <w:i w:val="0"/>
                <w:iCs w:val="0"/>
                <w:caps w:val="0"/>
                <w:color w:val="252525"/>
                <w:spacing w:val="0"/>
                <w:kern w:val="0"/>
                <w:sz w:val="21"/>
                <w:szCs w:val="21"/>
                <w:shd w:val="clear" w:fill="FFFFFF"/>
                <w:lang w:val="en-US" w:eastAsia="zh-CN" w:bidi="ar"/>
              </w:rPr>
              <w:t>X＜150%</w:t>
            </w:r>
          </w:p>
        </w:tc>
      </w:tr>
      <w:tr w14:paraId="41F68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trPr>
        <w:tc>
          <w:tcPr>
            <w:tcW w:w="2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27651B">
            <w:pPr>
              <w:keepNext w:val="0"/>
              <w:keepLines w:val="0"/>
              <w:widowControl/>
              <w:suppressLineNumbers w:val="0"/>
              <w:jc w:val="center"/>
              <w:textAlignment w:val="center"/>
              <w:rPr>
                <w:rFonts w:hint="eastAsia" w:ascii="仿宋" w:hAnsi="仿宋" w:eastAsia="仿宋" w:cs="仿宋"/>
                <w:i w:val="0"/>
                <w:iCs w:val="0"/>
                <w:caps w:val="0"/>
                <w:color w:val="252525"/>
                <w:spacing w:val="0"/>
                <w:kern w:val="0"/>
                <w:sz w:val="21"/>
                <w:szCs w:val="21"/>
                <w:shd w:val="clear" w:fill="FFFFFF"/>
                <w:lang w:val="en-US" w:eastAsia="zh-CN" w:bidi="ar"/>
              </w:rPr>
            </w:pPr>
            <w:r>
              <w:rPr>
                <w:rFonts w:hint="eastAsia" w:ascii="仿宋" w:hAnsi="仿宋" w:eastAsia="仿宋" w:cs="仿宋"/>
                <w:i w:val="0"/>
                <w:iCs w:val="0"/>
                <w:caps w:val="0"/>
                <w:color w:val="252525"/>
                <w:spacing w:val="0"/>
                <w:kern w:val="0"/>
                <w:sz w:val="21"/>
                <w:szCs w:val="21"/>
                <w:shd w:val="clear" w:fill="FFFFFF"/>
                <w:lang w:val="en-US" w:eastAsia="zh-CN" w:bidi="ar"/>
              </w:rPr>
              <w:t>E组证券板块集中度上限</w:t>
            </w: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483F5A">
            <w:pPr>
              <w:keepNext w:val="0"/>
              <w:keepLines w:val="0"/>
              <w:widowControl/>
              <w:suppressLineNumbers w:val="0"/>
              <w:jc w:val="center"/>
              <w:textAlignment w:val="center"/>
              <w:rPr>
                <w:rFonts w:hint="default" w:ascii="仿宋" w:hAnsi="仿宋" w:eastAsia="仿宋" w:cs="仿宋"/>
                <w:i w:val="0"/>
                <w:iCs w:val="0"/>
                <w:caps w:val="0"/>
                <w:color w:val="252525"/>
                <w:spacing w:val="0"/>
                <w:kern w:val="0"/>
                <w:sz w:val="21"/>
                <w:szCs w:val="21"/>
                <w:shd w:val="clear" w:fill="FFFFFF"/>
                <w:lang w:val="en-US" w:eastAsia="zh-CN" w:bidi="ar"/>
              </w:rPr>
            </w:pPr>
            <w:r>
              <w:rPr>
                <w:rFonts w:hint="eastAsia" w:ascii="仿宋" w:hAnsi="仿宋" w:eastAsia="仿宋" w:cs="仿宋"/>
                <w:i w:val="0"/>
                <w:iCs w:val="0"/>
                <w:caps w:val="0"/>
                <w:color w:val="252525"/>
                <w:spacing w:val="0"/>
                <w:kern w:val="0"/>
                <w:sz w:val="21"/>
                <w:szCs w:val="21"/>
                <w:shd w:val="clear" w:fill="FFFFFF"/>
                <w:lang w:val="en-US" w:eastAsia="zh-CN" w:bidi="ar"/>
              </w:rPr>
              <w:t>100%</w:t>
            </w: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9A0373">
            <w:pPr>
              <w:keepNext w:val="0"/>
              <w:keepLines w:val="0"/>
              <w:widowControl/>
              <w:suppressLineNumbers w:val="0"/>
              <w:jc w:val="center"/>
              <w:textAlignment w:val="center"/>
              <w:rPr>
                <w:rFonts w:hint="default" w:ascii="仿宋" w:hAnsi="仿宋" w:eastAsia="仿宋" w:cs="仿宋"/>
                <w:i w:val="0"/>
                <w:iCs w:val="0"/>
                <w:caps w:val="0"/>
                <w:color w:val="252525"/>
                <w:spacing w:val="0"/>
                <w:kern w:val="0"/>
                <w:sz w:val="21"/>
                <w:szCs w:val="21"/>
                <w:shd w:val="clear" w:fill="FFFFFF"/>
                <w:lang w:val="en-US" w:eastAsia="zh-CN" w:bidi="ar"/>
              </w:rPr>
            </w:pPr>
            <w:r>
              <w:rPr>
                <w:rFonts w:hint="eastAsia" w:ascii="仿宋" w:hAnsi="仿宋" w:eastAsia="仿宋" w:cs="仿宋"/>
                <w:i w:val="0"/>
                <w:iCs w:val="0"/>
                <w:caps w:val="0"/>
                <w:color w:val="252525"/>
                <w:spacing w:val="0"/>
                <w:kern w:val="0"/>
                <w:sz w:val="21"/>
                <w:szCs w:val="21"/>
                <w:shd w:val="clear" w:fill="FFFFFF"/>
                <w:lang w:val="en-US" w:eastAsia="zh-CN" w:bidi="ar"/>
              </w:rPr>
              <w:t>60%</w:t>
            </w: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AC1361">
            <w:pPr>
              <w:keepNext w:val="0"/>
              <w:keepLines w:val="0"/>
              <w:widowControl/>
              <w:suppressLineNumbers w:val="0"/>
              <w:jc w:val="center"/>
              <w:textAlignment w:val="center"/>
              <w:rPr>
                <w:rFonts w:hint="default" w:ascii="仿宋" w:hAnsi="仿宋" w:eastAsia="仿宋" w:cs="仿宋"/>
                <w:i w:val="0"/>
                <w:iCs w:val="0"/>
                <w:caps w:val="0"/>
                <w:color w:val="252525"/>
                <w:spacing w:val="0"/>
                <w:kern w:val="0"/>
                <w:sz w:val="21"/>
                <w:szCs w:val="21"/>
                <w:shd w:val="clear" w:fill="FFFFFF"/>
                <w:lang w:val="en-US" w:eastAsia="zh-CN" w:bidi="ar"/>
              </w:rPr>
            </w:pPr>
            <w:r>
              <w:rPr>
                <w:rFonts w:hint="eastAsia" w:ascii="仿宋" w:hAnsi="仿宋" w:eastAsia="仿宋" w:cs="仿宋"/>
                <w:i w:val="0"/>
                <w:iCs w:val="0"/>
                <w:caps w:val="0"/>
                <w:color w:val="252525"/>
                <w:spacing w:val="0"/>
                <w:kern w:val="0"/>
                <w:sz w:val="21"/>
                <w:szCs w:val="21"/>
                <w:shd w:val="clear" w:fill="FFFFFF"/>
                <w:lang w:val="en-US" w:eastAsia="zh-CN" w:bidi="ar"/>
              </w:rPr>
              <w:t>40%</w:t>
            </w: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62EBFA">
            <w:pPr>
              <w:keepNext w:val="0"/>
              <w:keepLines w:val="0"/>
              <w:widowControl/>
              <w:suppressLineNumbers w:val="0"/>
              <w:jc w:val="center"/>
              <w:textAlignment w:val="center"/>
              <w:rPr>
                <w:rFonts w:hint="default" w:ascii="仿宋" w:hAnsi="仿宋" w:eastAsia="仿宋" w:cs="仿宋"/>
                <w:i w:val="0"/>
                <w:iCs w:val="0"/>
                <w:caps w:val="0"/>
                <w:color w:val="252525"/>
                <w:spacing w:val="0"/>
                <w:kern w:val="0"/>
                <w:sz w:val="21"/>
                <w:szCs w:val="21"/>
                <w:shd w:val="clear" w:fill="FFFFFF"/>
                <w:lang w:val="en-US" w:eastAsia="zh-CN" w:bidi="ar"/>
              </w:rPr>
            </w:pPr>
            <w:r>
              <w:rPr>
                <w:rFonts w:hint="eastAsia" w:ascii="仿宋" w:hAnsi="仿宋" w:eastAsia="仿宋" w:cs="仿宋"/>
                <w:i w:val="0"/>
                <w:iCs w:val="0"/>
                <w:caps w:val="0"/>
                <w:color w:val="252525"/>
                <w:spacing w:val="0"/>
                <w:kern w:val="0"/>
                <w:sz w:val="21"/>
                <w:szCs w:val="21"/>
                <w:shd w:val="clear" w:fill="FFFFFF"/>
                <w:lang w:val="en-US" w:eastAsia="zh-CN" w:bidi="ar"/>
              </w:rPr>
              <w:t>20%</w:t>
            </w: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43BBFD">
            <w:pPr>
              <w:keepNext w:val="0"/>
              <w:keepLines w:val="0"/>
              <w:widowControl/>
              <w:suppressLineNumbers w:val="0"/>
              <w:jc w:val="center"/>
              <w:textAlignment w:val="center"/>
              <w:rPr>
                <w:rFonts w:hint="eastAsia" w:ascii="仿宋" w:hAnsi="仿宋" w:eastAsia="仿宋" w:cs="仿宋"/>
                <w:i w:val="0"/>
                <w:iCs w:val="0"/>
                <w:caps w:val="0"/>
                <w:color w:val="252525"/>
                <w:spacing w:val="0"/>
                <w:kern w:val="0"/>
                <w:sz w:val="21"/>
                <w:szCs w:val="21"/>
                <w:shd w:val="clear" w:fill="FFFFFF"/>
                <w:lang w:val="en-US" w:eastAsia="zh-CN" w:bidi="ar"/>
              </w:rPr>
            </w:pPr>
            <w:r>
              <w:rPr>
                <w:rFonts w:hint="eastAsia" w:ascii="仿宋" w:hAnsi="仿宋" w:eastAsia="仿宋" w:cs="仿宋"/>
                <w:i w:val="0"/>
                <w:iCs w:val="0"/>
                <w:caps w:val="0"/>
                <w:color w:val="252525"/>
                <w:spacing w:val="0"/>
                <w:kern w:val="0"/>
                <w:sz w:val="21"/>
                <w:szCs w:val="21"/>
                <w:shd w:val="clear" w:fill="FFFFFF"/>
                <w:lang w:val="en-US" w:eastAsia="zh-CN" w:bidi="ar"/>
              </w:rPr>
              <w:t>0</w:t>
            </w:r>
          </w:p>
        </w:tc>
      </w:tr>
      <w:tr w14:paraId="277B8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 w:hRule="atLeast"/>
        </w:trPr>
        <w:tc>
          <w:tcPr>
            <w:tcW w:w="2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65BDB6">
            <w:pPr>
              <w:jc w:val="center"/>
              <w:rPr>
                <w:rFonts w:hint="eastAsia" w:ascii="仿宋" w:hAnsi="仿宋" w:eastAsia="仿宋" w:cs="仿宋"/>
                <w:i w:val="0"/>
                <w:iCs w:val="0"/>
                <w:caps w:val="0"/>
                <w:color w:val="252525"/>
                <w:spacing w:val="0"/>
                <w:kern w:val="0"/>
                <w:sz w:val="21"/>
                <w:szCs w:val="21"/>
                <w:shd w:val="clear" w:fill="FFFFFF"/>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3972AB">
            <w:pPr>
              <w:jc w:val="center"/>
              <w:rPr>
                <w:rFonts w:hint="eastAsia" w:ascii="仿宋" w:hAnsi="仿宋" w:eastAsia="仿宋" w:cs="仿宋"/>
                <w:i w:val="0"/>
                <w:iCs w:val="0"/>
                <w:caps w:val="0"/>
                <w:color w:val="252525"/>
                <w:spacing w:val="0"/>
                <w:kern w:val="0"/>
                <w:sz w:val="21"/>
                <w:szCs w:val="21"/>
                <w:shd w:val="clear" w:fill="FFFFFF"/>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DC89D0">
            <w:pPr>
              <w:jc w:val="center"/>
              <w:rPr>
                <w:rFonts w:hint="eastAsia" w:ascii="仿宋" w:hAnsi="仿宋" w:eastAsia="仿宋" w:cs="仿宋"/>
                <w:i w:val="0"/>
                <w:iCs w:val="0"/>
                <w:caps w:val="0"/>
                <w:color w:val="252525"/>
                <w:spacing w:val="0"/>
                <w:kern w:val="0"/>
                <w:sz w:val="21"/>
                <w:szCs w:val="21"/>
                <w:shd w:val="clear" w:fill="FFFFFF"/>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F9F0F0">
            <w:pPr>
              <w:jc w:val="center"/>
              <w:rPr>
                <w:rFonts w:hint="eastAsia" w:ascii="仿宋" w:hAnsi="仿宋" w:eastAsia="仿宋" w:cs="仿宋"/>
                <w:i w:val="0"/>
                <w:iCs w:val="0"/>
                <w:caps w:val="0"/>
                <w:color w:val="252525"/>
                <w:spacing w:val="0"/>
                <w:kern w:val="0"/>
                <w:sz w:val="21"/>
                <w:szCs w:val="21"/>
                <w:shd w:val="clear" w:fill="FFFFFF"/>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5AB620">
            <w:pPr>
              <w:jc w:val="center"/>
              <w:rPr>
                <w:rFonts w:hint="eastAsia" w:ascii="仿宋" w:hAnsi="仿宋" w:eastAsia="仿宋" w:cs="仿宋"/>
                <w:i w:val="0"/>
                <w:iCs w:val="0"/>
                <w:caps w:val="0"/>
                <w:color w:val="252525"/>
                <w:spacing w:val="0"/>
                <w:kern w:val="0"/>
                <w:sz w:val="21"/>
                <w:szCs w:val="21"/>
                <w:shd w:val="clear" w:fill="FFFFFF"/>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6D373D">
            <w:pPr>
              <w:jc w:val="center"/>
              <w:rPr>
                <w:rFonts w:hint="eastAsia" w:ascii="仿宋" w:hAnsi="仿宋" w:eastAsia="仿宋" w:cs="仿宋"/>
                <w:i w:val="0"/>
                <w:iCs w:val="0"/>
                <w:caps w:val="0"/>
                <w:color w:val="252525"/>
                <w:spacing w:val="0"/>
                <w:kern w:val="0"/>
                <w:sz w:val="21"/>
                <w:szCs w:val="21"/>
                <w:shd w:val="clear" w:fill="FFFFFF"/>
                <w:lang w:val="en-US" w:eastAsia="zh-CN" w:bidi="ar"/>
              </w:rPr>
            </w:pPr>
          </w:p>
        </w:tc>
      </w:tr>
      <w:tr w14:paraId="1F761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trPr>
        <w:tc>
          <w:tcPr>
            <w:tcW w:w="2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861C47">
            <w:pPr>
              <w:keepNext w:val="0"/>
              <w:keepLines w:val="0"/>
              <w:widowControl/>
              <w:suppressLineNumbers w:val="0"/>
              <w:jc w:val="center"/>
              <w:textAlignment w:val="center"/>
              <w:rPr>
                <w:rFonts w:hint="eastAsia" w:ascii="仿宋" w:hAnsi="仿宋" w:eastAsia="仿宋" w:cs="仿宋"/>
                <w:i w:val="0"/>
                <w:iCs w:val="0"/>
                <w:caps w:val="0"/>
                <w:color w:val="252525"/>
                <w:spacing w:val="0"/>
                <w:kern w:val="0"/>
                <w:sz w:val="21"/>
                <w:szCs w:val="21"/>
                <w:shd w:val="clear" w:fill="FFFFFF"/>
                <w:lang w:val="en-US" w:eastAsia="zh-CN" w:bidi="ar"/>
              </w:rPr>
            </w:pPr>
            <w:r>
              <w:rPr>
                <w:rFonts w:hint="eastAsia" w:ascii="仿宋" w:hAnsi="仿宋" w:eastAsia="仿宋" w:cs="仿宋"/>
                <w:i w:val="0"/>
                <w:iCs w:val="0"/>
                <w:caps w:val="0"/>
                <w:color w:val="252525"/>
                <w:spacing w:val="0"/>
                <w:kern w:val="0"/>
                <w:sz w:val="21"/>
                <w:szCs w:val="21"/>
                <w:shd w:val="clear" w:fill="FFFFFF"/>
                <w:lang w:val="en-US" w:eastAsia="zh-CN" w:bidi="ar"/>
              </w:rPr>
              <w:t>维持担保比例(x)</w:t>
            </w: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12BA7E">
            <w:pPr>
              <w:keepNext w:val="0"/>
              <w:keepLines w:val="0"/>
              <w:widowControl/>
              <w:suppressLineNumbers w:val="0"/>
              <w:jc w:val="center"/>
              <w:textAlignment w:val="center"/>
              <w:rPr>
                <w:rFonts w:hint="eastAsia" w:ascii="仿宋" w:hAnsi="仿宋" w:eastAsia="仿宋" w:cs="仿宋"/>
                <w:i w:val="0"/>
                <w:iCs w:val="0"/>
                <w:caps w:val="0"/>
                <w:color w:val="252525"/>
                <w:spacing w:val="0"/>
                <w:kern w:val="0"/>
                <w:sz w:val="21"/>
                <w:szCs w:val="21"/>
                <w:shd w:val="clear" w:fill="FFFFFF"/>
                <w:lang w:val="en-US" w:eastAsia="zh-CN" w:bidi="ar"/>
              </w:rPr>
            </w:pPr>
            <w:r>
              <w:rPr>
                <w:rFonts w:hint="eastAsia" w:ascii="仿宋" w:hAnsi="仿宋" w:eastAsia="仿宋" w:cs="仿宋"/>
                <w:i w:val="0"/>
                <w:iCs w:val="0"/>
                <w:caps w:val="0"/>
                <w:color w:val="252525"/>
                <w:spacing w:val="0"/>
                <w:kern w:val="0"/>
                <w:sz w:val="21"/>
                <w:szCs w:val="21"/>
                <w:shd w:val="clear" w:fill="FFFFFF"/>
                <w:lang w:val="en-US" w:eastAsia="zh-CN" w:bidi="ar"/>
              </w:rPr>
              <w:t>X≥300%</w:t>
            </w: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89B638">
            <w:pPr>
              <w:keepNext w:val="0"/>
              <w:keepLines w:val="0"/>
              <w:widowControl/>
              <w:suppressLineNumbers w:val="0"/>
              <w:jc w:val="center"/>
              <w:textAlignment w:val="center"/>
              <w:rPr>
                <w:rFonts w:hint="eastAsia" w:ascii="仿宋" w:hAnsi="仿宋" w:eastAsia="仿宋" w:cs="仿宋"/>
                <w:i w:val="0"/>
                <w:iCs w:val="0"/>
                <w:caps w:val="0"/>
                <w:color w:val="252525"/>
                <w:spacing w:val="0"/>
                <w:kern w:val="0"/>
                <w:sz w:val="21"/>
                <w:szCs w:val="21"/>
                <w:shd w:val="clear" w:fill="FFFFFF"/>
                <w:lang w:val="en-US" w:eastAsia="zh-CN" w:bidi="ar"/>
              </w:rPr>
            </w:pPr>
            <w:r>
              <w:rPr>
                <w:rFonts w:hint="eastAsia" w:ascii="仿宋" w:hAnsi="仿宋" w:eastAsia="仿宋" w:cs="仿宋"/>
                <w:i w:val="0"/>
                <w:iCs w:val="0"/>
                <w:caps w:val="0"/>
                <w:color w:val="252525"/>
                <w:spacing w:val="0"/>
                <w:kern w:val="0"/>
                <w:sz w:val="21"/>
                <w:szCs w:val="21"/>
                <w:shd w:val="clear" w:fill="FFFFFF"/>
                <w:lang w:val="en-US" w:eastAsia="zh-CN" w:bidi="ar"/>
              </w:rPr>
              <w:t>250%≤X＜300%</w:t>
            </w: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B7B8E2">
            <w:pPr>
              <w:keepNext w:val="0"/>
              <w:keepLines w:val="0"/>
              <w:widowControl/>
              <w:suppressLineNumbers w:val="0"/>
              <w:jc w:val="center"/>
              <w:textAlignment w:val="center"/>
              <w:rPr>
                <w:rFonts w:hint="eastAsia" w:ascii="仿宋" w:hAnsi="仿宋" w:eastAsia="仿宋" w:cs="仿宋"/>
                <w:i w:val="0"/>
                <w:iCs w:val="0"/>
                <w:caps w:val="0"/>
                <w:color w:val="252525"/>
                <w:spacing w:val="0"/>
                <w:kern w:val="0"/>
                <w:sz w:val="21"/>
                <w:szCs w:val="21"/>
                <w:shd w:val="clear" w:fill="FFFFFF"/>
                <w:lang w:val="en-US" w:eastAsia="zh-CN" w:bidi="ar"/>
              </w:rPr>
            </w:pPr>
            <w:r>
              <w:rPr>
                <w:rFonts w:hint="eastAsia" w:ascii="仿宋" w:hAnsi="仿宋" w:eastAsia="仿宋" w:cs="仿宋"/>
                <w:i w:val="0"/>
                <w:iCs w:val="0"/>
                <w:caps w:val="0"/>
                <w:color w:val="252525"/>
                <w:spacing w:val="0"/>
                <w:kern w:val="0"/>
                <w:sz w:val="21"/>
                <w:szCs w:val="21"/>
                <w:shd w:val="clear" w:fill="FFFFFF"/>
                <w:lang w:val="en-US" w:eastAsia="zh-CN" w:bidi="ar"/>
              </w:rPr>
              <w:t>200%≤X＜250%</w:t>
            </w: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B04952">
            <w:pPr>
              <w:keepNext w:val="0"/>
              <w:keepLines w:val="0"/>
              <w:widowControl/>
              <w:suppressLineNumbers w:val="0"/>
              <w:jc w:val="center"/>
              <w:textAlignment w:val="center"/>
              <w:rPr>
                <w:rFonts w:hint="eastAsia" w:ascii="仿宋" w:hAnsi="仿宋" w:eastAsia="仿宋" w:cs="仿宋"/>
                <w:i w:val="0"/>
                <w:iCs w:val="0"/>
                <w:caps w:val="0"/>
                <w:color w:val="252525"/>
                <w:spacing w:val="0"/>
                <w:kern w:val="0"/>
                <w:sz w:val="21"/>
                <w:szCs w:val="21"/>
                <w:shd w:val="clear" w:fill="FFFFFF"/>
                <w:lang w:val="en-US" w:eastAsia="zh-CN" w:bidi="ar"/>
              </w:rPr>
            </w:pPr>
            <w:r>
              <w:rPr>
                <w:rFonts w:hint="eastAsia" w:ascii="仿宋" w:hAnsi="仿宋" w:eastAsia="仿宋" w:cs="仿宋"/>
                <w:i w:val="0"/>
                <w:iCs w:val="0"/>
                <w:caps w:val="0"/>
                <w:color w:val="252525"/>
                <w:spacing w:val="0"/>
                <w:kern w:val="0"/>
                <w:sz w:val="21"/>
                <w:szCs w:val="21"/>
                <w:shd w:val="clear" w:fill="FFFFFF"/>
                <w:lang w:val="en-US" w:eastAsia="zh-CN" w:bidi="ar"/>
              </w:rPr>
              <w:t>170%≤X＜200%</w:t>
            </w: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331653">
            <w:pPr>
              <w:keepNext w:val="0"/>
              <w:keepLines w:val="0"/>
              <w:widowControl/>
              <w:suppressLineNumbers w:val="0"/>
              <w:jc w:val="center"/>
              <w:textAlignment w:val="center"/>
              <w:rPr>
                <w:rFonts w:hint="eastAsia" w:ascii="仿宋" w:hAnsi="仿宋" w:eastAsia="仿宋" w:cs="仿宋"/>
                <w:i w:val="0"/>
                <w:iCs w:val="0"/>
                <w:caps w:val="0"/>
                <w:color w:val="252525"/>
                <w:spacing w:val="0"/>
                <w:kern w:val="0"/>
                <w:sz w:val="21"/>
                <w:szCs w:val="21"/>
                <w:shd w:val="clear" w:fill="FFFFFF"/>
                <w:lang w:val="en-US" w:eastAsia="zh-CN" w:bidi="ar"/>
              </w:rPr>
            </w:pPr>
            <w:r>
              <w:rPr>
                <w:rFonts w:hint="eastAsia" w:ascii="仿宋" w:hAnsi="仿宋" w:eastAsia="仿宋" w:cs="仿宋"/>
                <w:i w:val="0"/>
                <w:iCs w:val="0"/>
                <w:caps w:val="0"/>
                <w:color w:val="252525"/>
                <w:spacing w:val="0"/>
                <w:kern w:val="0"/>
                <w:sz w:val="21"/>
                <w:szCs w:val="21"/>
                <w:shd w:val="clear" w:fill="FFFFFF"/>
                <w:lang w:val="en-US" w:eastAsia="zh-CN" w:bidi="ar"/>
              </w:rPr>
              <w:t>X＜170%</w:t>
            </w:r>
          </w:p>
        </w:tc>
      </w:tr>
      <w:tr w14:paraId="22F4A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2" w:hRule="atLeast"/>
        </w:trPr>
        <w:tc>
          <w:tcPr>
            <w:tcW w:w="2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B8936C">
            <w:pPr>
              <w:keepNext w:val="0"/>
              <w:keepLines w:val="0"/>
              <w:widowControl/>
              <w:suppressLineNumbers w:val="0"/>
              <w:jc w:val="center"/>
              <w:textAlignment w:val="center"/>
              <w:rPr>
                <w:rFonts w:hint="eastAsia" w:ascii="仿宋" w:hAnsi="仿宋" w:eastAsia="仿宋" w:cs="仿宋"/>
                <w:i w:val="0"/>
                <w:iCs w:val="0"/>
                <w:caps w:val="0"/>
                <w:color w:val="252525"/>
                <w:spacing w:val="0"/>
                <w:kern w:val="0"/>
                <w:sz w:val="21"/>
                <w:szCs w:val="21"/>
                <w:shd w:val="clear" w:fill="FFFFFF"/>
                <w:lang w:val="en-US" w:eastAsia="zh-CN" w:bidi="ar"/>
              </w:rPr>
            </w:pPr>
            <w:r>
              <w:rPr>
                <w:rFonts w:hint="eastAsia" w:ascii="仿宋" w:hAnsi="仿宋" w:eastAsia="仿宋" w:cs="仿宋"/>
                <w:i w:val="0"/>
                <w:iCs w:val="0"/>
                <w:caps w:val="0"/>
                <w:color w:val="252525"/>
                <w:spacing w:val="0"/>
                <w:kern w:val="0"/>
                <w:sz w:val="21"/>
                <w:szCs w:val="21"/>
                <w:shd w:val="clear" w:fill="FFFFFF"/>
                <w:lang w:val="en-US" w:eastAsia="zh-CN" w:bidi="ar"/>
              </w:rPr>
              <w:t>F组证券板块集中度上限</w:t>
            </w: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87A2A5">
            <w:pPr>
              <w:keepNext w:val="0"/>
              <w:keepLines w:val="0"/>
              <w:widowControl/>
              <w:suppressLineNumbers w:val="0"/>
              <w:jc w:val="center"/>
              <w:textAlignment w:val="center"/>
              <w:rPr>
                <w:rFonts w:hint="default" w:ascii="仿宋" w:hAnsi="仿宋" w:eastAsia="仿宋" w:cs="仿宋"/>
                <w:i w:val="0"/>
                <w:iCs w:val="0"/>
                <w:caps w:val="0"/>
                <w:color w:val="252525"/>
                <w:spacing w:val="0"/>
                <w:kern w:val="0"/>
                <w:sz w:val="21"/>
                <w:szCs w:val="21"/>
                <w:shd w:val="clear" w:fill="FFFFFF"/>
                <w:lang w:val="en-US" w:eastAsia="zh-CN" w:bidi="ar"/>
              </w:rPr>
            </w:pPr>
            <w:r>
              <w:rPr>
                <w:rFonts w:hint="eastAsia" w:ascii="仿宋" w:hAnsi="仿宋" w:eastAsia="仿宋" w:cs="仿宋"/>
                <w:i w:val="0"/>
                <w:iCs w:val="0"/>
                <w:caps w:val="0"/>
                <w:color w:val="252525"/>
                <w:spacing w:val="0"/>
                <w:kern w:val="0"/>
                <w:sz w:val="21"/>
                <w:szCs w:val="21"/>
                <w:shd w:val="clear" w:fill="FFFFFF"/>
                <w:lang w:val="en-US" w:eastAsia="zh-CN" w:bidi="ar"/>
              </w:rPr>
              <w:t>50%</w:t>
            </w: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B32031">
            <w:pPr>
              <w:keepNext w:val="0"/>
              <w:keepLines w:val="0"/>
              <w:widowControl/>
              <w:suppressLineNumbers w:val="0"/>
              <w:jc w:val="center"/>
              <w:textAlignment w:val="center"/>
              <w:rPr>
                <w:rFonts w:hint="default" w:ascii="仿宋" w:hAnsi="仿宋" w:eastAsia="仿宋" w:cs="仿宋"/>
                <w:i w:val="0"/>
                <w:iCs w:val="0"/>
                <w:caps w:val="0"/>
                <w:color w:val="252525"/>
                <w:spacing w:val="0"/>
                <w:kern w:val="0"/>
                <w:sz w:val="21"/>
                <w:szCs w:val="21"/>
                <w:shd w:val="clear" w:fill="FFFFFF"/>
                <w:lang w:val="en-US" w:eastAsia="zh-CN" w:bidi="ar"/>
              </w:rPr>
            </w:pPr>
            <w:r>
              <w:rPr>
                <w:rFonts w:hint="eastAsia" w:ascii="仿宋" w:hAnsi="仿宋" w:eastAsia="仿宋" w:cs="仿宋"/>
                <w:i w:val="0"/>
                <w:iCs w:val="0"/>
                <w:caps w:val="0"/>
                <w:color w:val="252525"/>
                <w:spacing w:val="0"/>
                <w:kern w:val="0"/>
                <w:sz w:val="21"/>
                <w:szCs w:val="21"/>
                <w:shd w:val="clear" w:fill="FFFFFF"/>
                <w:lang w:val="en-US" w:eastAsia="zh-CN" w:bidi="ar"/>
              </w:rPr>
              <w:t>40%</w:t>
            </w: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7717D6">
            <w:pPr>
              <w:keepNext w:val="0"/>
              <w:keepLines w:val="0"/>
              <w:widowControl/>
              <w:suppressLineNumbers w:val="0"/>
              <w:jc w:val="center"/>
              <w:textAlignment w:val="center"/>
              <w:rPr>
                <w:rFonts w:hint="default" w:ascii="仿宋" w:hAnsi="仿宋" w:eastAsia="仿宋" w:cs="仿宋"/>
                <w:i w:val="0"/>
                <w:iCs w:val="0"/>
                <w:caps w:val="0"/>
                <w:color w:val="252525"/>
                <w:spacing w:val="0"/>
                <w:kern w:val="0"/>
                <w:sz w:val="21"/>
                <w:szCs w:val="21"/>
                <w:shd w:val="clear" w:fill="FFFFFF"/>
                <w:lang w:val="en-US" w:eastAsia="zh-CN" w:bidi="ar"/>
              </w:rPr>
            </w:pPr>
            <w:r>
              <w:rPr>
                <w:rFonts w:hint="eastAsia" w:ascii="仿宋" w:hAnsi="仿宋" w:eastAsia="仿宋" w:cs="仿宋"/>
                <w:i w:val="0"/>
                <w:iCs w:val="0"/>
                <w:caps w:val="0"/>
                <w:color w:val="252525"/>
                <w:spacing w:val="0"/>
                <w:kern w:val="0"/>
                <w:sz w:val="21"/>
                <w:szCs w:val="21"/>
                <w:shd w:val="clear" w:fill="FFFFFF"/>
                <w:lang w:val="en-US" w:eastAsia="zh-CN" w:bidi="ar"/>
              </w:rPr>
              <w:t>25%</w:t>
            </w: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075CAE">
            <w:pPr>
              <w:keepNext w:val="0"/>
              <w:keepLines w:val="0"/>
              <w:widowControl/>
              <w:suppressLineNumbers w:val="0"/>
              <w:jc w:val="center"/>
              <w:textAlignment w:val="center"/>
              <w:rPr>
                <w:rFonts w:hint="default" w:ascii="仿宋" w:hAnsi="仿宋" w:eastAsia="仿宋" w:cs="仿宋"/>
                <w:i w:val="0"/>
                <w:iCs w:val="0"/>
                <w:caps w:val="0"/>
                <w:color w:val="252525"/>
                <w:spacing w:val="0"/>
                <w:kern w:val="0"/>
                <w:sz w:val="21"/>
                <w:szCs w:val="21"/>
                <w:shd w:val="clear" w:fill="FFFFFF"/>
                <w:lang w:val="en-US" w:eastAsia="zh-CN" w:bidi="ar"/>
              </w:rPr>
            </w:pPr>
            <w:r>
              <w:rPr>
                <w:rFonts w:hint="eastAsia" w:ascii="仿宋" w:hAnsi="仿宋" w:eastAsia="仿宋" w:cs="仿宋"/>
                <w:i w:val="0"/>
                <w:iCs w:val="0"/>
                <w:caps w:val="0"/>
                <w:color w:val="252525"/>
                <w:spacing w:val="0"/>
                <w:kern w:val="0"/>
                <w:sz w:val="21"/>
                <w:szCs w:val="21"/>
                <w:shd w:val="clear" w:fill="FFFFFF"/>
                <w:lang w:val="en-US" w:eastAsia="zh-CN" w:bidi="ar"/>
              </w:rPr>
              <w:t>10%</w:t>
            </w: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EEBBA4">
            <w:pPr>
              <w:keepNext w:val="0"/>
              <w:keepLines w:val="0"/>
              <w:widowControl/>
              <w:suppressLineNumbers w:val="0"/>
              <w:jc w:val="center"/>
              <w:textAlignment w:val="center"/>
              <w:rPr>
                <w:rFonts w:hint="eastAsia" w:ascii="仿宋" w:hAnsi="仿宋" w:eastAsia="仿宋" w:cs="仿宋"/>
                <w:i w:val="0"/>
                <w:iCs w:val="0"/>
                <w:caps w:val="0"/>
                <w:color w:val="252525"/>
                <w:spacing w:val="0"/>
                <w:kern w:val="0"/>
                <w:sz w:val="21"/>
                <w:szCs w:val="21"/>
                <w:shd w:val="clear" w:fill="FFFFFF"/>
                <w:lang w:val="en-US" w:eastAsia="zh-CN" w:bidi="ar"/>
              </w:rPr>
            </w:pPr>
            <w:r>
              <w:rPr>
                <w:rFonts w:hint="eastAsia" w:ascii="仿宋" w:hAnsi="仿宋" w:eastAsia="仿宋" w:cs="仿宋"/>
                <w:i w:val="0"/>
                <w:iCs w:val="0"/>
                <w:caps w:val="0"/>
                <w:color w:val="252525"/>
                <w:spacing w:val="0"/>
                <w:kern w:val="0"/>
                <w:sz w:val="21"/>
                <w:szCs w:val="21"/>
                <w:shd w:val="clear" w:fill="FFFFFF"/>
                <w:lang w:val="en-US" w:eastAsia="zh-CN" w:bidi="ar"/>
              </w:rPr>
              <w:t>0</w:t>
            </w:r>
          </w:p>
        </w:tc>
      </w:tr>
    </w:tbl>
    <w:p w14:paraId="29C691D9">
      <w:pPr>
        <w:rPr>
          <w:rFonts w:hint="eastAsia" w:ascii="仿宋" w:hAnsi="仿宋" w:eastAsia="仿宋" w:cs="仿宋"/>
          <w:i w:val="0"/>
          <w:iCs w:val="0"/>
          <w:caps w:val="0"/>
          <w:color w:val="252525"/>
          <w:spacing w:val="0"/>
          <w:kern w:val="0"/>
          <w:sz w:val="21"/>
          <w:szCs w:val="21"/>
          <w:shd w:val="clear" w:fill="FFFFFF"/>
          <w:lang w:val="en-US" w:eastAsia="zh-CN" w:bidi="ar"/>
        </w:rPr>
      </w:pPr>
    </w:p>
    <w:p w14:paraId="17E06AF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right="0" w:firstLine="240" w:firstLineChars="100"/>
        <w:jc w:val="left"/>
        <w:rPr>
          <w:rFonts w:hint="eastAsia" w:ascii="仿宋" w:hAnsi="仿宋" w:eastAsia="仿宋" w:cs="仿宋"/>
          <w:i w:val="0"/>
          <w:iCs w:val="0"/>
          <w:caps w:val="0"/>
          <w:color w:val="252525"/>
          <w:spacing w:val="0"/>
          <w:sz w:val="24"/>
          <w:szCs w:val="24"/>
          <w:shd w:val="clear" w:fill="FFFFFF"/>
        </w:rPr>
      </w:pPr>
      <w:r>
        <w:rPr>
          <w:rFonts w:hint="eastAsia" w:ascii="仿宋" w:hAnsi="仿宋" w:eastAsia="仿宋" w:cs="仿宋"/>
          <w:i w:val="0"/>
          <w:iCs w:val="0"/>
          <w:caps w:val="0"/>
          <w:color w:val="252525"/>
          <w:spacing w:val="0"/>
          <w:sz w:val="24"/>
          <w:szCs w:val="24"/>
          <w:shd w:val="clear" w:fill="FFFFFF"/>
        </w:rPr>
        <w:t>四、融券负债集中度控制标准</w:t>
      </w:r>
    </w:p>
    <w:p w14:paraId="7B78829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240"/>
        <w:jc w:val="left"/>
        <w:rPr>
          <w:rFonts w:hint="eastAsia" w:ascii="仿宋" w:hAnsi="仿宋" w:eastAsia="仿宋" w:cs="仿宋"/>
          <w:i w:val="0"/>
          <w:iCs w:val="0"/>
          <w:caps w:val="0"/>
          <w:color w:val="252525"/>
          <w:spacing w:val="0"/>
          <w:sz w:val="24"/>
          <w:szCs w:val="24"/>
          <w:shd w:val="clear" w:fill="FFFFFF"/>
        </w:rPr>
      </w:pPr>
      <w:r>
        <w:rPr>
          <w:rFonts w:hint="eastAsia" w:ascii="仿宋" w:hAnsi="仿宋" w:eastAsia="仿宋" w:cs="仿宋"/>
          <w:i w:val="0"/>
          <w:iCs w:val="0"/>
          <w:caps w:val="0"/>
          <w:color w:val="252525"/>
          <w:spacing w:val="0"/>
          <w:sz w:val="24"/>
          <w:szCs w:val="24"/>
          <w:shd w:val="clear" w:fill="FFFFFF"/>
        </w:rPr>
        <w:t>1、主板、非注册制创业板不设置集中度限制。</w:t>
      </w:r>
    </w:p>
    <w:p w14:paraId="110CE8A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240"/>
        <w:jc w:val="left"/>
        <w:rPr>
          <w:rFonts w:hint="eastAsia" w:ascii="仿宋" w:hAnsi="仿宋" w:eastAsia="仿宋" w:cs="仿宋"/>
          <w:i w:val="0"/>
          <w:iCs w:val="0"/>
          <w:caps w:val="0"/>
          <w:color w:val="252525"/>
          <w:spacing w:val="0"/>
          <w:sz w:val="24"/>
          <w:szCs w:val="24"/>
          <w:shd w:val="clear" w:fill="FFFFFF"/>
        </w:rPr>
      </w:pPr>
      <w:r>
        <w:rPr>
          <w:rFonts w:hint="eastAsia" w:ascii="仿宋" w:hAnsi="仿宋" w:eastAsia="仿宋" w:cs="仿宋"/>
          <w:i w:val="0"/>
          <w:iCs w:val="0"/>
          <w:caps w:val="0"/>
          <w:color w:val="252525"/>
          <w:spacing w:val="0"/>
          <w:sz w:val="24"/>
          <w:szCs w:val="24"/>
          <w:shd w:val="clear" w:fill="FFFFFF"/>
        </w:rPr>
        <w:t>2、注册制双创板融券负债集中度</w:t>
      </w:r>
    </w:p>
    <w:p w14:paraId="259FD54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240"/>
        <w:jc w:val="left"/>
        <w:rPr>
          <w:rFonts w:hint="eastAsia" w:ascii="仿宋" w:hAnsi="仿宋" w:eastAsia="仿宋" w:cs="仿宋"/>
          <w:i w:val="0"/>
          <w:iCs w:val="0"/>
          <w:caps w:val="0"/>
          <w:color w:val="252525"/>
          <w:spacing w:val="0"/>
          <w:sz w:val="24"/>
          <w:szCs w:val="24"/>
          <w:shd w:val="clear" w:fill="FFFFFF"/>
        </w:rPr>
      </w:pPr>
      <w:r>
        <w:rPr>
          <w:rFonts w:hint="eastAsia" w:ascii="仿宋" w:hAnsi="仿宋" w:eastAsia="仿宋" w:cs="仿宋"/>
          <w:i w:val="0"/>
          <w:iCs w:val="0"/>
          <w:caps w:val="0"/>
          <w:color w:val="252525"/>
          <w:spacing w:val="0"/>
          <w:sz w:val="24"/>
          <w:szCs w:val="24"/>
          <w:shd w:val="clear" w:fill="FFFFFF"/>
        </w:rPr>
        <w:t>客户融券卖出时,系统根据信用账户维持担保比例校验融券卖出集中度，达到上限后将限制融券卖出操作。注册制双创板融券负债集中度分为注册制双创板单一证券集中度上限、注册制双创板证券板块集中度上限，具体</w:t>
      </w:r>
      <w:r>
        <w:rPr>
          <w:rFonts w:hint="eastAsia" w:ascii="仿宋" w:hAnsi="仿宋" w:eastAsia="仿宋" w:cs="仿宋"/>
          <w:i w:val="0"/>
          <w:iCs w:val="0"/>
          <w:caps w:val="0"/>
          <w:color w:val="252525"/>
          <w:spacing w:val="0"/>
          <w:sz w:val="24"/>
          <w:szCs w:val="24"/>
          <w:shd w:val="clear" w:fill="FFFFFF"/>
          <w:lang w:eastAsia="zh-CN"/>
        </w:rPr>
        <w:t>阈值</w:t>
      </w:r>
      <w:r>
        <w:rPr>
          <w:rFonts w:hint="eastAsia" w:ascii="仿宋" w:hAnsi="仿宋" w:eastAsia="仿宋" w:cs="仿宋"/>
          <w:i w:val="0"/>
          <w:iCs w:val="0"/>
          <w:caps w:val="0"/>
          <w:color w:val="252525"/>
          <w:spacing w:val="0"/>
          <w:sz w:val="24"/>
          <w:szCs w:val="24"/>
          <w:shd w:val="clear" w:fill="FFFFFF"/>
        </w:rPr>
        <w:t>如下：</w:t>
      </w:r>
    </w:p>
    <w:tbl>
      <w:tblPr>
        <w:tblStyle w:val="5"/>
        <w:tblW w:w="5958"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900"/>
        <w:gridCol w:w="1994"/>
        <w:gridCol w:w="2064"/>
      </w:tblGrid>
      <w:tr w14:paraId="1E9D5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5958"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FB4AABF">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注册制双创板融券负债集中度</w:t>
            </w:r>
          </w:p>
        </w:tc>
      </w:tr>
      <w:tr w14:paraId="4E516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1EF178">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维持担保比例(X)</w:t>
            </w:r>
          </w:p>
        </w:tc>
        <w:tc>
          <w:tcPr>
            <w:tcW w:w="19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8D6BF3">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注册制双创板单一证券集中度上限</w:t>
            </w:r>
          </w:p>
        </w:tc>
        <w:tc>
          <w:tcPr>
            <w:tcW w:w="20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739EDB">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注册制双创板证券板块集中度上限</w:t>
            </w:r>
          </w:p>
        </w:tc>
      </w:tr>
      <w:tr w14:paraId="498DE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464CC2">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X＜180%</w:t>
            </w:r>
          </w:p>
        </w:tc>
        <w:tc>
          <w:tcPr>
            <w:tcW w:w="19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05879C">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0%</w:t>
            </w:r>
          </w:p>
        </w:tc>
        <w:tc>
          <w:tcPr>
            <w:tcW w:w="20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7F560D">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0%</w:t>
            </w:r>
          </w:p>
        </w:tc>
      </w:tr>
      <w:tr w14:paraId="2B3DF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61EE7B">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180%≤X＜240%</w:t>
            </w:r>
          </w:p>
        </w:tc>
        <w:tc>
          <w:tcPr>
            <w:tcW w:w="19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437CAA">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20%</w:t>
            </w:r>
          </w:p>
        </w:tc>
        <w:tc>
          <w:tcPr>
            <w:tcW w:w="20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A01977">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40%</w:t>
            </w:r>
          </w:p>
        </w:tc>
      </w:tr>
      <w:tr w14:paraId="3FEEF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3BB852">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240%≤X＜300%</w:t>
            </w:r>
          </w:p>
        </w:tc>
        <w:tc>
          <w:tcPr>
            <w:tcW w:w="19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56A3B2">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30%</w:t>
            </w:r>
          </w:p>
        </w:tc>
        <w:tc>
          <w:tcPr>
            <w:tcW w:w="20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7C4085">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50%</w:t>
            </w:r>
          </w:p>
        </w:tc>
      </w:tr>
      <w:tr w14:paraId="1BCD5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C9F563">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X≥300%</w:t>
            </w:r>
          </w:p>
        </w:tc>
        <w:tc>
          <w:tcPr>
            <w:tcW w:w="19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352613">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40%</w:t>
            </w:r>
          </w:p>
        </w:tc>
        <w:tc>
          <w:tcPr>
            <w:tcW w:w="20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5E159A">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60%</w:t>
            </w:r>
          </w:p>
        </w:tc>
      </w:tr>
    </w:tbl>
    <w:p w14:paraId="7FFD16C4">
      <w:pPr>
        <w:rPr>
          <w:rFonts w:hint="eastAsia" w:ascii="仿宋" w:hAnsi="仿宋" w:eastAsia="仿宋" w:cs="仿宋"/>
          <w:i w:val="0"/>
          <w:iCs w:val="0"/>
          <w:caps w:val="0"/>
          <w:color w:val="252525"/>
          <w:spacing w:val="0"/>
          <w:sz w:val="21"/>
          <w:szCs w:val="21"/>
          <w:shd w:val="clear" w:fill="FFFFFF"/>
        </w:rPr>
      </w:pPr>
    </w:p>
    <w:p w14:paraId="329479A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240"/>
        <w:rPr>
          <w:rFonts w:hint="eastAsia" w:ascii="仿宋" w:hAnsi="仿宋" w:eastAsia="仿宋" w:cs="仿宋"/>
          <w:i w:val="0"/>
          <w:iCs w:val="0"/>
          <w:caps w:val="0"/>
          <w:spacing w:val="0"/>
          <w:sz w:val="24"/>
          <w:szCs w:val="24"/>
        </w:rPr>
      </w:pPr>
      <w:r>
        <w:rPr>
          <w:rFonts w:hint="eastAsia" w:ascii="仿宋" w:hAnsi="仿宋" w:eastAsia="仿宋" w:cs="仿宋"/>
          <w:i w:val="0"/>
          <w:iCs w:val="0"/>
          <w:caps w:val="0"/>
          <w:spacing w:val="0"/>
          <w:sz w:val="24"/>
          <w:szCs w:val="24"/>
          <w:shd w:val="clear" w:fill="FFFFFF"/>
          <w:lang w:val="en-US" w:eastAsia="zh-CN"/>
        </w:rPr>
        <w:t>3</w:t>
      </w:r>
      <w:r>
        <w:rPr>
          <w:rFonts w:hint="eastAsia" w:ascii="仿宋" w:hAnsi="仿宋" w:eastAsia="仿宋" w:cs="仿宋"/>
          <w:i w:val="0"/>
          <w:iCs w:val="0"/>
          <w:caps w:val="0"/>
          <w:spacing w:val="0"/>
          <w:sz w:val="24"/>
          <w:szCs w:val="24"/>
          <w:shd w:val="clear" w:fill="FFFFFF"/>
        </w:rPr>
        <w:t>、北交所证券融券负债集中度</w:t>
      </w:r>
    </w:p>
    <w:p w14:paraId="223D3BC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240"/>
        <w:rPr>
          <w:rFonts w:hint="eastAsia" w:ascii="仿宋" w:hAnsi="仿宋" w:eastAsia="仿宋" w:cs="仿宋"/>
          <w:i w:val="0"/>
          <w:iCs w:val="0"/>
          <w:caps w:val="0"/>
          <w:spacing w:val="0"/>
          <w:sz w:val="24"/>
          <w:szCs w:val="24"/>
          <w:shd w:val="clear" w:fill="FFFFFF"/>
        </w:rPr>
      </w:pPr>
      <w:r>
        <w:rPr>
          <w:rFonts w:hint="eastAsia" w:ascii="仿宋" w:hAnsi="仿宋" w:eastAsia="仿宋" w:cs="仿宋"/>
          <w:i w:val="0"/>
          <w:iCs w:val="0"/>
          <w:caps w:val="0"/>
          <w:spacing w:val="0"/>
          <w:sz w:val="24"/>
          <w:szCs w:val="24"/>
          <w:shd w:val="clear" w:fill="FFFFFF"/>
        </w:rPr>
        <w:t>客户融券卖出时,系统会根据信用账户维持担保比例校验融券卖出集中度，达到上限后将限制融券卖出操作。融券负债集中度分为单客户北交所单一证券集中度上限、单客户北交所证券板块集中度上限，具体</w:t>
      </w:r>
      <w:r>
        <w:rPr>
          <w:rFonts w:hint="eastAsia" w:ascii="仿宋" w:hAnsi="仿宋" w:eastAsia="仿宋" w:cs="仿宋"/>
          <w:i w:val="0"/>
          <w:iCs w:val="0"/>
          <w:caps w:val="0"/>
          <w:spacing w:val="0"/>
          <w:sz w:val="24"/>
          <w:szCs w:val="24"/>
          <w:shd w:val="clear" w:fill="FFFFFF"/>
          <w:lang w:eastAsia="zh-CN"/>
        </w:rPr>
        <w:t>阈值</w:t>
      </w:r>
      <w:r>
        <w:rPr>
          <w:rFonts w:hint="eastAsia" w:ascii="仿宋" w:hAnsi="仿宋" w:eastAsia="仿宋" w:cs="仿宋"/>
          <w:i w:val="0"/>
          <w:iCs w:val="0"/>
          <w:caps w:val="0"/>
          <w:spacing w:val="0"/>
          <w:sz w:val="24"/>
          <w:szCs w:val="24"/>
          <w:shd w:val="clear" w:fill="FFFFFF"/>
        </w:rPr>
        <w:t>如下：</w:t>
      </w:r>
    </w:p>
    <w:tbl>
      <w:tblPr>
        <w:tblStyle w:val="5"/>
        <w:tblW w:w="5948"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32"/>
        <w:gridCol w:w="1958"/>
        <w:gridCol w:w="1958"/>
      </w:tblGrid>
      <w:tr w14:paraId="3517D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594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8DB7DE9">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北交所证券融券负债集中度</w:t>
            </w:r>
          </w:p>
        </w:tc>
      </w:tr>
      <w:tr w14:paraId="5650B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19F46F">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维持担保比例(X)</w:t>
            </w:r>
          </w:p>
        </w:tc>
        <w:tc>
          <w:tcPr>
            <w:tcW w:w="19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798A50">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单客户北交所单一证券集中度上限</w:t>
            </w:r>
          </w:p>
        </w:tc>
        <w:tc>
          <w:tcPr>
            <w:tcW w:w="19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50B835">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单客户北交所证券板块集中度上限</w:t>
            </w:r>
          </w:p>
        </w:tc>
      </w:tr>
      <w:tr w14:paraId="5F989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C1A8D6">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X＜180%</w:t>
            </w:r>
          </w:p>
        </w:tc>
        <w:tc>
          <w:tcPr>
            <w:tcW w:w="19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C26E0D">
            <w:pPr>
              <w:jc w:val="center"/>
              <w:rPr>
                <w:rFonts w:hint="default" w:ascii="仿宋" w:hAnsi="仿宋" w:eastAsia="仿宋" w:cs="仿宋"/>
                <w:b w:val="0"/>
                <w:bCs w:val="0"/>
                <w:i w:val="0"/>
                <w:iCs w:val="0"/>
                <w:color w:val="000000"/>
                <w:sz w:val="21"/>
                <w:szCs w:val="21"/>
                <w:u w:val="none"/>
                <w:lang w:val="en-US" w:eastAsia="zh-CN"/>
              </w:rPr>
            </w:pPr>
            <w:r>
              <w:rPr>
                <w:rFonts w:hint="eastAsia" w:ascii="仿宋" w:hAnsi="仿宋" w:eastAsia="仿宋" w:cs="仿宋"/>
                <w:b w:val="0"/>
                <w:bCs w:val="0"/>
                <w:i w:val="0"/>
                <w:iCs w:val="0"/>
                <w:color w:val="000000"/>
                <w:sz w:val="21"/>
                <w:szCs w:val="21"/>
                <w:u w:val="none"/>
                <w:lang w:val="en-US" w:eastAsia="zh-CN"/>
              </w:rPr>
              <w:t>0%</w:t>
            </w:r>
          </w:p>
        </w:tc>
        <w:tc>
          <w:tcPr>
            <w:tcW w:w="19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DE91A9">
            <w:pPr>
              <w:jc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sz w:val="21"/>
                <w:szCs w:val="21"/>
                <w:u w:val="none"/>
                <w:lang w:val="en-US" w:eastAsia="zh-CN"/>
              </w:rPr>
              <w:t>0%</w:t>
            </w:r>
          </w:p>
        </w:tc>
      </w:tr>
      <w:tr w14:paraId="0B050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4BE9E5">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180%≤X＜240%</w:t>
            </w:r>
          </w:p>
        </w:tc>
        <w:tc>
          <w:tcPr>
            <w:tcW w:w="19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6631A7">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10%</w:t>
            </w:r>
          </w:p>
        </w:tc>
        <w:tc>
          <w:tcPr>
            <w:tcW w:w="19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3EF97B">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20%</w:t>
            </w:r>
          </w:p>
        </w:tc>
      </w:tr>
      <w:tr w14:paraId="10A7E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874BCA">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240%≤X＜300%</w:t>
            </w:r>
          </w:p>
        </w:tc>
        <w:tc>
          <w:tcPr>
            <w:tcW w:w="19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56A2FE">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15%</w:t>
            </w:r>
          </w:p>
        </w:tc>
        <w:tc>
          <w:tcPr>
            <w:tcW w:w="19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759AD5">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30%</w:t>
            </w:r>
          </w:p>
        </w:tc>
      </w:tr>
      <w:tr w14:paraId="35ED8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815A5B">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300%≤X＜500%</w:t>
            </w:r>
          </w:p>
        </w:tc>
        <w:tc>
          <w:tcPr>
            <w:tcW w:w="19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D680E6">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20%</w:t>
            </w:r>
          </w:p>
        </w:tc>
        <w:tc>
          <w:tcPr>
            <w:tcW w:w="19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6BFFF3">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40%</w:t>
            </w:r>
          </w:p>
        </w:tc>
      </w:tr>
      <w:tr w14:paraId="5C94A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D26E48">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X≥500%</w:t>
            </w:r>
          </w:p>
        </w:tc>
        <w:tc>
          <w:tcPr>
            <w:tcW w:w="19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99EDFB">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30%</w:t>
            </w:r>
          </w:p>
        </w:tc>
        <w:tc>
          <w:tcPr>
            <w:tcW w:w="19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A986D7">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val="0"/>
                <w:bCs w:val="0"/>
                <w:i w:val="0"/>
                <w:iCs w:val="0"/>
                <w:color w:val="000000"/>
                <w:kern w:val="0"/>
                <w:sz w:val="21"/>
                <w:szCs w:val="21"/>
                <w:u w:val="none"/>
                <w:lang w:val="en-US" w:eastAsia="zh-CN" w:bidi="ar"/>
              </w:rPr>
              <w:t>50%</w:t>
            </w:r>
          </w:p>
        </w:tc>
      </w:tr>
    </w:tbl>
    <w:p w14:paraId="5A6F8C3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240"/>
        <w:rPr>
          <w:rFonts w:hint="eastAsia" w:ascii="仿宋" w:hAnsi="仿宋" w:eastAsia="仿宋" w:cs="仿宋"/>
          <w:i w:val="0"/>
          <w:iCs w:val="0"/>
          <w:caps w:val="0"/>
          <w:spacing w:val="0"/>
          <w:sz w:val="21"/>
          <w:szCs w:val="21"/>
          <w:shd w:val="clear" w:fill="FFFFFF"/>
        </w:rPr>
      </w:pPr>
    </w:p>
    <w:p w14:paraId="3675815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240"/>
        <w:rPr>
          <w:rFonts w:hint="eastAsia"/>
          <w:lang w:val="en-US" w:eastAsia="zh-CN"/>
        </w:rPr>
      </w:pPr>
      <w:r>
        <w:rPr>
          <w:rFonts w:hint="eastAsia" w:ascii="仿宋" w:hAnsi="仿宋" w:eastAsia="仿宋" w:cs="仿宋"/>
          <w:i w:val="0"/>
          <w:iCs w:val="0"/>
          <w:caps w:val="0"/>
          <w:color w:val="252525"/>
          <w:spacing w:val="0"/>
          <w:sz w:val="24"/>
          <w:szCs w:val="24"/>
          <w:shd w:val="clear" w:fill="FFFFFF"/>
        </w:rPr>
        <w:t>特此公告！</w:t>
      </w:r>
    </w:p>
    <w:p w14:paraId="085A4EAC">
      <w:pPr>
        <w:pStyle w:val="3"/>
        <w:bidi w:val="0"/>
        <w:spacing w:line="240" w:lineRule="auto"/>
        <w:jc w:val="right"/>
        <w:rPr>
          <w:rFonts w:hint="eastAsia"/>
          <w:sz w:val="24"/>
          <w:szCs w:val="22"/>
          <w:lang w:val="en-US" w:eastAsia="zh-CN"/>
        </w:rPr>
      </w:pPr>
      <w:r>
        <w:rPr>
          <w:rFonts w:hint="eastAsia"/>
          <w:sz w:val="24"/>
          <w:szCs w:val="22"/>
          <w:lang w:val="en-US" w:eastAsia="zh-CN"/>
        </w:rPr>
        <w:t>民生证券股份有限公司</w:t>
      </w:r>
    </w:p>
    <w:p w14:paraId="7C65AA3E">
      <w:pPr>
        <w:pStyle w:val="3"/>
        <w:bidi w:val="0"/>
        <w:spacing w:line="240" w:lineRule="auto"/>
        <w:jc w:val="right"/>
        <w:rPr>
          <w:rFonts w:hint="eastAsia"/>
          <w:sz w:val="24"/>
          <w:szCs w:val="22"/>
          <w:lang w:val="en-US" w:eastAsia="zh-CN"/>
        </w:rPr>
      </w:pPr>
      <w:r>
        <w:rPr>
          <w:rFonts w:hint="eastAsia"/>
          <w:sz w:val="24"/>
          <w:szCs w:val="22"/>
          <w:lang w:val="en-US" w:eastAsia="zh-CN"/>
        </w:rPr>
        <w:t>2026年08月06</w:t>
      </w:r>
      <w:bookmarkStart w:id="2" w:name="_GoBack"/>
      <w:bookmarkEnd w:id="2"/>
      <w:r>
        <w:rPr>
          <w:rFonts w:hint="eastAsia"/>
          <w:sz w:val="24"/>
          <w:szCs w:val="22"/>
          <w:lang w:val="en-US" w:eastAsia="zh-CN"/>
        </w:rPr>
        <w:t>日</w:t>
      </w:r>
      <w:bookmarkEnd w:id="0"/>
      <w:bookmarkEnd w:id="1"/>
    </w:p>
    <w:p w14:paraId="2D9C6A97">
      <w:pPr>
        <w:rPr>
          <w:rFonts w:ascii="Segoe UI" w:hAnsi="Segoe UI" w:eastAsia="Segoe UI" w:cs="Segoe UI"/>
          <w:i w:val="0"/>
          <w:iCs w:val="0"/>
          <w:caps w:val="0"/>
          <w:color w:val="252525"/>
          <w:spacing w:val="0"/>
          <w:sz w:val="12"/>
          <w:szCs w:val="12"/>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DACC6B"/>
    <w:multiLevelType w:val="singleLevel"/>
    <w:tmpl w:val="CCDACC6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943BCA"/>
    <w:rsid w:val="01F2753D"/>
    <w:rsid w:val="026C434B"/>
    <w:rsid w:val="02C818D0"/>
    <w:rsid w:val="03026FA5"/>
    <w:rsid w:val="04470232"/>
    <w:rsid w:val="06C82C28"/>
    <w:rsid w:val="077B64FA"/>
    <w:rsid w:val="08C14FC6"/>
    <w:rsid w:val="0A3735BD"/>
    <w:rsid w:val="0A4478D3"/>
    <w:rsid w:val="0A7F678D"/>
    <w:rsid w:val="0AC631B9"/>
    <w:rsid w:val="0B38169B"/>
    <w:rsid w:val="0B4A367E"/>
    <w:rsid w:val="0B634109"/>
    <w:rsid w:val="0C3B3165"/>
    <w:rsid w:val="0DB82CCD"/>
    <w:rsid w:val="14783153"/>
    <w:rsid w:val="14B3137C"/>
    <w:rsid w:val="14C57E3A"/>
    <w:rsid w:val="17162170"/>
    <w:rsid w:val="17E07E9D"/>
    <w:rsid w:val="19F76874"/>
    <w:rsid w:val="1AAD307F"/>
    <w:rsid w:val="1B064C46"/>
    <w:rsid w:val="1BB51201"/>
    <w:rsid w:val="1C040D8F"/>
    <w:rsid w:val="1D812C8D"/>
    <w:rsid w:val="1E2B3212"/>
    <w:rsid w:val="20D17374"/>
    <w:rsid w:val="20D7443B"/>
    <w:rsid w:val="21EE6C04"/>
    <w:rsid w:val="24101826"/>
    <w:rsid w:val="243F7F11"/>
    <w:rsid w:val="263A40ED"/>
    <w:rsid w:val="272B515B"/>
    <w:rsid w:val="27952DAE"/>
    <w:rsid w:val="2BF04BDE"/>
    <w:rsid w:val="2CCF4182"/>
    <w:rsid w:val="2F8F397B"/>
    <w:rsid w:val="30644CE1"/>
    <w:rsid w:val="319250DC"/>
    <w:rsid w:val="32256AAA"/>
    <w:rsid w:val="32916434"/>
    <w:rsid w:val="33353F22"/>
    <w:rsid w:val="34CB5EA4"/>
    <w:rsid w:val="34CF740A"/>
    <w:rsid w:val="35B638DB"/>
    <w:rsid w:val="38B74AF6"/>
    <w:rsid w:val="38EC4442"/>
    <w:rsid w:val="3B147E5C"/>
    <w:rsid w:val="3CE834B7"/>
    <w:rsid w:val="3DAE0E25"/>
    <w:rsid w:val="40330E69"/>
    <w:rsid w:val="40A22B40"/>
    <w:rsid w:val="41CB44CF"/>
    <w:rsid w:val="41D93389"/>
    <w:rsid w:val="42A30C89"/>
    <w:rsid w:val="42E90143"/>
    <w:rsid w:val="433326D7"/>
    <w:rsid w:val="445504A1"/>
    <w:rsid w:val="464D113E"/>
    <w:rsid w:val="47CC2CDC"/>
    <w:rsid w:val="48733189"/>
    <w:rsid w:val="4A1D4BFE"/>
    <w:rsid w:val="4B005E43"/>
    <w:rsid w:val="4B6D6124"/>
    <w:rsid w:val="4CE223F1"/>
    <w:rsid w:val="4D694FFD"/>
    <w:rsid w:val="4DA62C01"/>
    <w:rsid w:val="4DB36FEE"/>
    <w:rsid w:val="4E092C29"/>
    <w:rsid w:val="4EC14952"/>
    <w:rsid w:val="4FC36B4C"/>
    <w:rsid w:val="55431AA2"/>
    <w:rsid w:val="5A34542B"/>
    <w:rsid w:val="5A9062CB"/>
    <w:rsid w:val="5CF4186C"/>
    <w:rsid w:val="5D357B10"/>
    <w:rsid w:val="5DE14775"/>
    <w:rsid w:val="5E642381"/>
    <w:rsid w:val="5E654FD9"/>
    <w:rsid w:val="5FBF188C"/>
    <w:rsid w:val="617D7BD3"/>
    <w:rsid w:val="62905F9F"/>
    <w:rsid w:val="64EF7CE0"/>
    <w:rsid w:val="6AB67775"/>
    <w:rsid w:val="6C393904"/>
    <w:rsid w:val="6CB979D0"/>
    <w:rsid w:val="6DD4473C"/>
    <w:rsid w:val="6F0E1CF5"/>
    <w:rsid w:val="6F13329E"/>
    <w:rsid w:val="6F75065E"/>
    <w:rsid w:val="700B2EBB"/>
    <w:rsid w:val="71930F0F"/>
    <w:rsid w:val="71C90F29"/>
    <w:rsid w:val="727516CD"/>
    <w:rsid w:val="7276531A"/>
    <w:rsid w:val="728758A0"/>
    <w:rsid w:val="74D42EB1"/>
    <w:rsid w:val="75BC4CBF"/>
    <w:rsid w:val="75D2638D"/>
    <w:rsid w:val="767D50C6"/>
    <w:rsid w:val="76F27CC5"/>
    <w:rsid w:val="77B865D3"/>
    <w:rsid w:val="77BE09AB"/>
    <w:rsid w:val="77EA7412"/>
    <w:rsid w:val="79F50995"/>
    <w:rsid w:val="7C740097"/>
    <w:rsid w:val="7C943BCA"/>
    <w:rsid w:val="7CA61850"/>
    <w:rsid w:val="7CDF7708"/>
    <w:rsid w:val="7D80551F"/>
    <w:rsid w:val="7D88226B"/>
    <w:rsid w:val="7DC75F7B"/>
    <w:rsid w:val="7E7A5A8D"/>
    <w:rsid w:val="7E9756CF"/>
    <w:rsid w:val="7EBE29AA"/>
    <w:rsid w:val="7FC119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3">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paragraph" w:styleId="8">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1217</Words>
  <Characters>1495</Characters>
  <Lines>0</Lines>
  <Paragraphs>0</Paragraphs>
  <TotalTime>34</TotalTime>
  <ScaleCrop>false</ScaleCrop>
  <LinksUpToDate>false</LinksUpToDate>
  <CharactersWithSpaces>1495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2025-09-27T01:39:00Z</dcterms:created>
  <dc:creator>jixia</dc:creator>
  <cp:lastModifiedBy>zouyu</cp:lastModifiedBy>
  <dcterms:modified xsi:type="dcterms:W3CDTF">2026-08-06T01:16:39Z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460AC693E91F459BBC5C11E4335889FA</vt:lpwstr>
  </property>
  <property fmtid="{D5CDD505-2E9C-101B-9397-08002B2CF9AE}" pid="4" name="KSOTemplateDocerSaveRecord">
    <vt:lpwstr>eyJoZGlkIjoiNmNlMTdhY2ZlY2M1M2RiMTc2NDJlNzUzY2QwY2E3ZmIiLCJ1c2VySWQiOiI1MTc1NjY5MjAifQ==</vt:lpwstr>
  </property>
</Properties>
</file>