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14" w:lineRule="atLeast"/>
        <w:ind w:left="0" w:right="0" w:firstLine="0"/>
        <w:jc w:val="center"/>
        <w:rPr>
          <w:rFonts w:ascii="Microsoft YaHei UI" w:hAnsi="Microsoft YaHei UI" w:eastAsia="Microsoft YaHei UI" w:cs="Microsoft YaHei UI"/>
          <w:i w:val="0"/>
          <w:iCs w:val="0"/>
          <w:caps w:val="0"/>
          <w:color w:val="000000"/>
          <w:spacing w:val="5"/>
          <w:sz w:val="22"/>
          <w:szCs w:val="22"/>
        </w:rPr>
      </w:pPr>
      <w:r>
        <w:rPr>
          <w:rFonts w:hint="eastAsia" w:ascii="Microsoft YaHei UI" w:hAnsi="Microsoft YaHei UI" w:eastAsia="Microsoft YaHei UI" w:cs="Microsoft YaHei UI"/>
          <w:i w:val="0"/>
          <w:iCs w:val="0"/>
          <w:caps w:val="0"/>
          <w:color w:val="000000"/>
          <w:spacing w:val="5"/>
          <w:sz w:val="22"/>
          <w:szCs w:val="22"/>
        </w:rPr>
        <w:t>“两高”联合发布《关于办理洗钱刑事案件适用法律若干问题的解释》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0" w:afterAutospacing="0" w:line="200" w:lineRule="atLeast"/>
        <w:ind w:left="0" w:right="0" w:firstLine="0"/>
        <w:jc w:val="center"/>
        <w:rPr>
          <w:rFonts w:hint="eastAsia" w:ascii="Microsoft YaHei UI" w:hAnsi="Microsoft YaHei UI" w:eastAsia="Microsoft YaHei UI" w:cs="Microsoft YaHei UI"/>
          <w:b w:val="0"/>
          <w:bCs w:val="0"/>
          <w:i w:val="0"/>
          <w:iCs w:val="0"/>
          <w:caps w:val="0"/>
          <w:color w:val="000000"/>
          <w:spacing w:val="5"/>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left"/>
      </w:pPr>
      <w:r>
        <w:rPr>
          <w:rFonts w:hint="eastAsia" w:ascii="Microsoft YaHei UI" w:hAnsi="Microsoft YaHei UI" w:eastAsia="Microsoft YaHei UI" w:cs="Microsoft YaHei UI"/>
          <w:b w:val="0"/>
          <w:bCs w:val="0"/>
          <w:i w:val="0"/>
          <w:iCs w:val="0"/>
          <w:caps w:val="0"/>
          <w:spacing w:val="5"/>
          <w:sz w:val="16"/>
          <w:szCs w:val="16"/>
        </w:rPr>
        <w:t>2024年8月19日，最高人民法院、最高人民检察院联合举行新闻发布会，发布“两高”《关于办理洗钱刑事案件适用法律若干问题的解释》（以下简称《解释》），自2024年8月20日起施行。最高人民法院刑三庭庭长陈鸿翔、副庭长陈学勇，最高人民检察院经济犯罪检察厅副厅长张建忠、副厅长王新出席发布会并回答记者提问。发布会由最高人民法院新闻局副局长姬忠彪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rPr>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Style w:val="6"/>
          <w:rFonts w:hint="eastAsia" w:ascii="Microsoft YaHei UI" w:hAnsi="Microsoft YaHei UI" w:eastAsia="Microsoft YaHei UI" w:cs="Microsoft YaHei UI"/>
          <w:i w:val="0"/>
          <w:iCs w:val="0"/>
          <w:caps w:val="0"/>
          <w:color w:val="auto"/>
          <w:spacing w:val="5"/>
          <w:sz w:val="16"/>
          <w:szCs w:val="16"/>
        </w:rPr>
        <w:t>一、《解释》的制定背景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Fonts w:hint="eastAsia" w:ascii="Microsoft YaHei UI" w:hAnsi="Microsoft YaHei UI" w:eastAsia="Microsoft YaHei UI" w:cs="Microsoft YaHei UI"/>
          <w:b w:val="0"/>
          <w:bCs w:val="0"/>
          <w:i w:val="0"/>
          <w:iCs w:val="0"/>
          <w:caps w:val="0"/>
          <w:spacing w:val="5"/>
          <w:sz w:val="16"/>
          <w:szCs w:val="16"/>
        </w:rPr>
        <w:t>洗钱犯罪与毒品犯罪、有组织犯罪、金融犯罪、腐败犯罪等上游犯罪有着紧密联系，严重破坏金融管理秩序，危害国家经济金融安全，社会危害性大，应依法惩处。1997年刑法对洗钱罪作了规定。《刑法修正案（三）》《刑法修正案（六）》先后对洗钱罪进行了修改完善。为依法惩治洗钱犯罪活动，最高人民法院于2009年制定了《关于审理洗钱等刑事案件具体应用法律若干问题的解释》（以下简称《2009年解释》），“两高一部”于2020年出台了《关于办理洗钱刑事案件若干问题的意见》，明确了洗钱犯罪的定罪处罚标准和相关法律适用问题，确保刑法得到正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Fonts w:hint="eastAsia" w:ascii="Microsoft YaHei UI" w:hAnsi="Microsoft YaHei UI" w:eastAsia="Microsoft YaHei UI" w:cs="Microsoft YaHei UI"/>
          <w:b w:val="0"/>
          <w:bCs w:val="0"/>
          <w:i w:val="0"/>
          <w:iCs w:val="0"/>
          <w:caps w:val="0"/>
          <w:spacing w:val="5"/>
          <w:sz w:val="16"/>
          <w:szCs w:val="16"/>
        </w:rPr>
        <w:t>从2021年3月1日起施行的《刑法修正案（十一）》对洗钱罪刑法条文作了重大修改，删除了原刑法条文中的“明知”和“协助”等术语，将“自洗钱”纳入打击范围，同时取消了罚金刑的限额，对洗钱罪的定罪量刑产生重大影响，迫切需要对现行洗钱刑事司法解释进行修改。同时，金融行动特别工作组在对我国反洗钱工作进行评估的基础上，指出了我国反洗钱工作在合规性和有效性方面存在的问题，迫切需要修改完善相关法律、司法解释和司法政策，更好地满足反洗钱工作需要。最高人民法院于2021年将制定《解释》纳入司法解释立项计划，并正式启动《解释》起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rPr>
          <w:rFonts w:hint="eastAsia" w:ascii="Microsoft YaHei UI" w:hAnsi="Microsoft YaHei UI" w:eastAsia="Microsoft YaHei UI" w:cs="Microsoft YaHei UI"/>
          <w:b w:val="0"/>
          <w:bCs w:val="0"/>
          <w:i w:val="0"/>
          <w:iCs w:val="0"/>
          <w:caps w:val="0"/>
          <w:spacing w:val="5"/>
          <w:sz w:val="16"/>
          <w:szCs w:val="16"/>
        </w:rPr>
      </w:pPr>
      <w:r>
        <w:rPr>
          <w:rFonts w:hint="eastAsia" w:ascii="Microsoft YaHei UI" w:hAnsi="Microsoft YaHei UI" w:eastAsia="Microsoft YaHei UI" w:cs="Microsoft YaHei UI"/>
          <w:b w:val="0"/>
          <w:bCs w:val="0"/>
          <w:i w:val="0"/>
          <w:iCs w:val="0"/>
          <w:caps w:val="0"/>
          <w:spacing w:val="5"/>
          <w:sz w:val="16"/>
          <w:szCs w:val="16"/>
        </w:rPr>
        <w:t>起草制定《解释》历时二年多时间。最高人民法院牵头会同最高人民检察院，经深入调研论证和广泛征求意见，结合司法实践，制定了本《解释》。其间，征求了全国法院、检察院系统以及国家监察委员会、公安部、中国人民银行等有关部门的意见，组织召开专家论证会听取意见建议，并征求全国人大常委会法工委的意见，数易其稿，不断修改完善。《解释》经最高人民法院审判委员会第1880次会议、最高人民检察院第十四届检察委员会第二十八次会议通过，从2024年8月20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rPr>
          <w:rFonts w:hint="eastAsia" w:ascii="Microsoft YaHei UI" w:hAnsi="Microsoft YaHei UI" w:eastAsia="Microsoft YaHei UI" w:cs="Microsoft YaHei UI"/>
          <w:b w:val="0"/>
          <w:bCs w:val="0"/>
          <w:i w:val="0"/>
          <w:iCs w:val="0"/>
          <w:caps w:val="0"/>
          <w:spacing w:val="5"/>
          <w:sz w:val="16"/>
          <w:szCs w:val="16"/>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Style w:val="6"/>
          <w:rFonts w:hint="eastAsia" w:ascii="Microsoft YaHei UI" w:hAnsi="Microsoft YaHei UI" w:eastAsia="Microsoft YaHei UI" w:cs="Microsoft YaHei UI"/>
          <w:i w:val="0"/>
          <w:iCs w:val="0"/>
          <w:caps w:val="0"/>
          <w:color w:val="auto"/>
          <w:spacing w:val="5"/>
          <w:sz w:val="16"/>
          <w:szCs w:val="16"/>
        </w:rPr>
        <w:t>二、《解释》的主要内容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Fonts w:hint="eastAsia" w:ascii="Microsoft YaHei UI" w:hAnsi="Microsoft YaHei UI" w:eastAsia="Microsoft YaHei UI" w:cs="Microsoft YaHei UI"/>
          <w:b w:val="0"/>
          <w:bCs w:val="0"/>
          <w:i w:val="0"/>
          <w:iCs w:val="0"/>
          <w:caps w:val="0"/>
          <w:spacing w:val="5"/>
          <w:sz w:val="16"/>
          <w:szCs w:val="16"/>
        </w:rPr>
        <w:t>在制定《解释》过程中，始终坚持罪刑法定原则，坚持宽严相济刑事政策，坚持以问题为导向，在总结司法实践经验的基础上，《解释》就洗钱罪相关法律适用问题作出规定。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Fonts w:hint="eastAsia" w:ascii="Microsoft YaHei UI" w:hAnsi="Microsoft YaHei UI" w:eastAsia="Microsoft YaHei UI" w:cs="Microsoft YaHei UI"/>
          <w:b w:val="0"/>
          <w:bCs w:val="0"/>
          <w:i w:val="0"/>
          <w:iCs w:val="0"/>
          <w:caps w:val="0"/>
          <w:spacing w:val="5"/>
          <w:sz w:val="16"/>
          <w:szCs w:val="16"/>
        </w:rPr>
        <w:t>本《解释》共13条，主要内容包括：一是明确“自洗钱”、“他洗钱”犯罪的认定标准，以及“他洗钱”犯罪主观认识的审查认定标准。二是明确洗钱罪“情节严重”的认定标准。洗钱数额在五百万元以上，且具有多次实施洗钱行为；拒不配合财物追缴，致使赃款赃物无法追缴；造成损失二百五十万元以上；或者造成其他严重后果情形之一的，应当认定为“情节严重”。三是明确“以其他方法掩饰、隐瞒犯罪所得及其收益的来源和性质”的七种具体情形。四是明确洗钱罪与掩饰、隐瞒犯罪所得、犯罪所得收益罪的竞合处罚原则。掩饰、隐瞒刑法第一百九十一条规定的上游犯罪的犯罪所得及其产生的收益，构成洗钱罪，同时又构成掩饰、隐瞒犯罪所得、犯罪所得收益罪的，依照洗钱罪定罪处罚。五是明确罚金数额标准。规定了在不同法定刑幅度判处罚金的最低数额。六是明确从宽处罚的标准。行为人如实供述洗钱犯罪事实，认罪悔罪，并积极配合追缴犯罪所得及其产生的收益的，可以从轻处罚；犯罪情节轻微的，可以依法不起诉或者免予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Fonts w:hint="eastAsia" w:ascii="Microsoft YaHei UI" w:hAnsi="Microsoft YaHei UI" w:eastAsia="Microsoft YaHei UI" w:cs="Microsoft YaHei UI"/>
          <w:b w:val="0"/>
          <w:bCs w:val="0"/>
          <w:i w:val="0"/>
          <w:iCs w:val="0"/>
          <w:caps w:val="0"/>
          <w:spacing w:val="5"/>
          <w:sz w:val="16"/>
          <w:szCs w:val="16"/>
        </w:rPr>
        <w:t>需要说明的是，《2009年解释》从“大洗钱”的角度，明确了刑法第一百九十一条、第三百一十二条、第三百四十九条和第一百二十条之一相关法律适用问题。考虑“两高”正在修订《关于审理掩饰、隐瞒犯罪所得、犯罪所得收益刑事案件适用法律若干问题的解释》，为了更好协调两个司法解释的关系和内容，《2009年解释》与刑法第一百九十一条、第三百一十二条相关的规定分别被吸收到两个司法解释中，本《解释》只规定第一百九十一条洗钱罪的相关法律适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rPr>
          <w:rStyle w:val="6"/>
          <w:rFonts w:hint="eastAsia" w:ascii="Microsoft YaHei UI" w:hAnsi="Microsoft YaHei UI" w:eastAsia="Microsoft YaHei UI" w:cs="Microsoft YaHei UI"/>
          <w:i w:val="0"/>
          <w:iCs w:val="0"/>
          <w:caps w:val="0"/>
          <w:color w:val="auto"/>
          <w:spacing w:val="5"/>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Style w:val="6"/>
          <w:rFonts w:hint="eastAsia" w:ascii="Microsoft YaHei UI" w:hAnsi="Microsoft YaHei UI" w:eastAsia="Microsoft YaHei UI" w:cs="Microsoft YaHei UI"/>
          <w:i w:val="0"/>
          <w:iCs w:val="0"/>
          <w:caps w:val="0"/>
          <w:color w:val="auto"/>
          <w:spacing w:val="5"/>
          <w:sz w:val="16"/>
          <w:szCs w:val="16"/>
        </w:rPr>
        <w:t>三、下步工作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Fonts w:hint="eastAsia" w:ascii="Microsoft YaHei UI" w:hAnsi="Microsoft YaHei UI" w:eastAsia="Microsoft YaHei UI" w:cs="Microsoft YaHei UI"/>
          <w:b w:val="0"/>
          <w:bCs w:val="0"/>
          <w:i w:val="0"/>
          <w:iCs w:val="0"/>
          <w:caps w:val="0"/>
          <w:spacing w:val="5"/>
          <w:sz w:val="16"/>
          <w:szCs w:val="16"/>
        </w:rPr>
        <w:t>党中央高度重视反洗钱工作，中央领导同志多次就反洗钱工作作出重要批示指示。最高人民法院成立反洗钱工作领导小组，及时研究部署反洗钱重大事项、重大问题、重要工作，扎实有效推进反洗钱工作。人民法院将始终坚持以习近平新时代中国特色社会主义思想为指导，深入贯彻习近平法治思想，深入学习贯彻党的二十届三中全会精神，切实提高政治站位和政治能力，贯彻落实党中央部署要求，充分发挥审判职能作用，依法惩治洗钱犯罪，为推进国家治理体系和治理能力现代化、维护国家经济金融安全和社会稳定提供更加有力的司法服务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Style w:val="6"/>
          <w:rFonts w:hint="eastAsia" w:ascii="Microsoft YaHei UI" w:hAnsi="Microsoft YaHei UI" w:eastAsia="Microsoft YaHei UI" w:cs="Microsoft YaHei UI"/>
          <w:i w:val="0"/>
          <w:iCs w:val="0"/>
          <w:caps w:val="0"/>
          <w:spacing w:val="5"/>
          <w:sz w:val="16"/>
          <w:szCs w:val="16"/>
        </w:rPr>
        <w:t>（一）依法严惩犯罪。</w:t>
      </w:r>
      <w:r>
        <w:rPr>
          <w:rFonts w:hint="eastAsia" w:ascii="Microsoft YaHei UI" w:hAnsi="Microsoft YaHei UI" w:eastAsia="Microsoft YaHei UI" w:cs="Microsoft YaHei UI"/>
          <w:b w:val="0"/>
          <w:bCs w:val="0"/>
          <w:i w:val="0"/>
          <w:iCs w:val="0"/>
          <w:caps w:val="0"/>
          <w:spacing w:val="5"/>
          <w:sz w:val="16"/>
          <w:szCs w:val="16"/>
        </w:rPr>
        <w:t>切实贯彻从严惩处洗钱犯罪的立法精神，依法从重从严惩处洗钱犯罪，加大对涉地下钱庄洗钱犯罪、利用虚拟币、游戏币等洗钱犯罪的打击力度。依法惩处“自洗钱”犯罪。加大罚金刑判处和执行力度，依法追缴洗钱行为人的违法所得，不让任何人从犯罪行为中非法获利。同时，切实贯彻宽严相济的刑事政策，区分情况、区别对待，确保取得最佳的政治效果、社会效果和法律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Style w:val="6"/>
          <w:rFonts w:hint="eastAsia" w:ascii="Microsoft YaHei UI" w:hAnsi="Microsoft YaHei UI" w:eastAsia="Microsoft YaHei UI" w:cs="Microsoft YaHei UI"/>
          <w:i w:val="0"/>
          <w:iCs w:val="0"/>
          <w:caps w:val="0"/>
          <w:spacing w:val="5"/>
          <w:sz w:val="16"/>
          <w:szCs w:val="16"/>
        </w:rPr>
        <w:t>（二）严格依法办案。</w:t>
      </w:r>
      <w:r>
        <w:rPr>
          <w:rFonts w:hint="eastAsia" w:ascii="Microsoft YaHei UI" w:hAnsi="Microsoft YaHei UI" w:eastAsia="Microsoft YaHei UI" w:cs="Microsoft YaHei UI"/>
          <w:b w:val="0"/>
          <w:bCs w:val="0"/>
          <w:i w:val="0"/>
          <w:iCs w:val="0"/>
          <w:caps w:val="0"/>
          <w:spacing w:val="5"/>
          <w:sz w:val="16"/>
          <w:szCs w:val="16"/>
        </w:rPr>
        <w:t>始终坚持以事实为根据，以法律为准绳，严格依照刑法和司法解释认定洗钱犯罪，准确定罪处罚，确保罪责刑相适应。坚持证据裁判原则，坚持以审判为中心，强化洗钱刑事案件证据的收集、审查和运用，确保办案质量。进一步加强洗钱犯罪问题研究和调研总结，适时发布典型案例或者指导性案例，加强业务指导，统一裁判标准，确保刑法和司法解释得到正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Style w:val="6"/>
          <w:rFonts w:hint="eastAsia" w:ascii="Microsoft YaHei UI" w:hAnsi="Microsoft YaHei UI" w:eastAsia="Microsoft YaHei UI" w:cs="Microsoft YaHei UI"/>
          <w:i w:val="0"/>
          <w:iCs w:val="0"/>
          <w:caps w:val="0"/>
          <w:spacing w:val="5"/>
          <w:sz w:val="16"/>
          <w:szCs w:val="16"/>
        </w:rPr>
        <w:t>（三）加强犯罪治理。</w:t>
      </w:r>
      <w:r>
        <w:rPr>
          <w:rFonts w:hint="eastAsia" w:ascii="Microsoft YaHei UI" w:hAnsi="Microsoft YaHei UI" w:eastAsia="Microsoft YaHei UI" w:cs="Microsoft YaHei UI"/>
          <w:b w:val="0"/>
          <w:bCs w:val="0"/>
          <w:i w:val="0"/>
          <w:iCs w:val="0"/>
          <w:caps w:val="0"/>
          <w:spacing w:val="5"/>
          <w:sz w:val="16"/>
          <w:szCs w:val="16"/>
        </w:rPr>
        <w:t>切实加强与公安机关、检察机关、金融监管等部门的协同配合，继续深入开展打击治理洗钱违法犯罪专项行动，健全完善执法司法协作机制，严格落实“一案双查”工作机制，及时发现、有效预防和惩治洗钱犯罪。坚持治罪和治理并重，做实办案就是治理，推动系统治理、综合治理、源头治理，大力推动反洗钱法修订工作，健全完善洗钱违法犯罪风险防控体系，切实提高打击治理洗钱违法犯罪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firstLine="340" w:firstLineChars="200"/>
        <w:jc w:val="both"/>
      </w:pPr>
      <w:r>
        <w:rPr>
          <w:rStyle w:val="6"/>
          <w:rFonts w:hint="eastAsia" w:ascii="Microsoft YaHei UI" w:hAnsi="Microsoft YaHei UI" w:eastAsia="Microsoft YaHei UI" w:cs="Microsoft YaHei UI"/>
          <w:i w:val="0"/>
          <w:iCs w:val="0"/>
          <w:caps w:val="0"/>
          <w:spacing w:val="5"/>
          <w:sz w:val="16"/>
          <w:szCs w:val="16"/>
        </w:rPr>
        <w:t>（四）加强反洗钱国际合作。</w:t>
      </w:r>
      <w:r>
        <w:rPr>
          <w:rFonts w:hint="eastAsia" w:ascii="Microsoft YaHei UI" w:hAnsi="Microsoft YaHei UI" w:eastAsia="Microsoft YaHei UI" w:cs="Microsoft YaHei UI"/>
          <w:b w:val="0"/>
          <w:bCs w:val="0"/>
          <w:i w:val="0"/>
          <w:iCs w:val="0"/>
          <w:caps w:val="0"/>
          <w:spacing w:val="5"/>
          <w:sz w:val="16"/>
          <w:szCs w:val="16"/>
        </w:rPr>
        <w:t>用足用好法律武器，依法打击跨国（境）洗钱犯罪，积极探索打击跨国洗钱犯罪的有效路径和方式，健全完善反洗钱国际合作制度机制，形成便捷查明跨国犯罪及跨国资产转移的良好合作机制，依法有力惩治跨国洗钱犯罪。大力加强国际司法协助，积极参与打击洗钱犯罪国际合作，加强国际追逃追赃，维护我国经济金融安全和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center"/>
        <w:rPr>
          <w:color w:val="auto"/>
        </w:rPr>
      </w:pPr>
      <w:r>
        <w:rPr>
          <w:rFonts w:hint="eastAsia" w:ascii="Microsoft YaHei UI" w:hAnsi="Microsoft YaHei UI" w:eastAsia="Microsoft YaHei UI" w:cs="Microsoft YaHei UI"/>
          <w:b w:val="0"/>
          <w:bCs w:val="0"/>
          <w:i w:val="0"/>
          <w:iCs w:val="0"/>
          <w:caps w:val="0"/>
          <w:color w:val="auto"/>
          <w:spacing w:val="5"/>
          <w:sz w:val="16"/>
          <w:szCs w:val="16"/>
        </w:rPr>
        <w:t>法释〔2024〕10号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center"/>
      </w:pPr>
      <w:r>
        <w:rPr>
          <w:rStyle w:val="6"/>
          <w:rFonts w:hint="eastAsia" w:ascii="Microsoft YaHei UI" w:hAnsi="Microsoft YaHei UI" w:eastAsia="Microsoft YaHei UI" w:cs="Microsoft YaHei UI"/>
          <w:i w:val="0"/>
          <w:iCs w:val="0"/>
          <w:caps w:val="0"/>
          <w:spacing w:val="5"/>
          <w:sz w:val="16"/>
          <w:szCs w:val="16"/>
        </w:rPr>
        <w:t>最高人民法院 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center"/>
      </w:pPr>
      <w:r>
        <w:rPr>
          <w:rStyle w:val="6"/>
          <w:rFonts w:hint="eastAsia" w:ascii="Microsoft YaHei UI" w:hAnsi="Microsoft YaHei UI" w:eastAsia="Microsoft YaHei UI" w:cs="Microsoft YaHei UI"/>
          <w:i w:val="0"/>
          <w:iCs w:val="0"/>
          <w:caps w:val="0"/>
          <w:spacing w:val="5"/>
          <w:sz w:val="16"/>
          <w:szCs w:val="16"/>
        </w:rPr>
        <w:t>关于办理洗钱刑事案件适用法律若干问题的解释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center"/>
      </w:pPr>
      <w:r>
        <w:rPr>
          <w:rFonts w:hint="eastAsia" w:ascii="Microsoft YaHei UI" w:hAnsi="Microsoft YaHei UI" w:eastAsia="Microsoft YaHei UI" w:cs="Microsoft YaHei UI"/>
          <w:b w:val="0"/>
          <w:bCs w:val="0"/>
          <w:i w:val="0"/>
          <w:iCs w:val="0"/>
          <w:caps w:val="0"/>
          <w:spacing w:val="5"/>
          <w:sz w:val="16"/>
          <w:szCs w:val="16"/>
        </w:rPr>
        <w:t>（2023年3月20日最高人民法院审判委员会第1880次会议、2024年3月29日最高人民检察院第十四届检察委员会第二十八次会议通过，自2024年8月20日起施行）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为依法惩治洗钱犯罪活动，根据《中华人民共和国刑法》、《中华人民共和国刑事诉讼法》的规定，现就办理洗钱刑事案件适用法律的若干问题解释如下：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第一条 </w:t>
      </w:r>
      <w:r>
        <w:rPr>
          <w:rFonts w:hint="eastAsia" w:ascii="Microsoft YaHei UI" w:hAnsi="Microsoft YaHei UI" w:eastAsia="Microsoft YaHei UI" w:cs="Microsoft YaHei UI"/>
          <w:b w:val="0"/>
          <w:bCs w:val="0"/>
          <w:i w:val="0"/>
          <w:iCs w:val="0"/>
          <w:caps w:val="0"/>
          <w:spacing w:val="5"/>
          <w:sz w:val="16"/>
          <w:szCs w:val="16"/>
        </w:rPr>
        <w:t> 为掩饰、隐瞒本人实施刑法第一百九十一条规定的上游犯罪的所得及其产生的收益的来源和性质，实施该条第一款规定的洗钱行为的，依照刑法第一百九十一条的规定定罪处罚。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第二条</w:t>
      </w:r>
      <w:r>
        <w:rPr>
          <w:rFonts w:hint="eastAsia" w:ascii="Microsoft YaHei UI" w:hAnsi="Microsoft YaHei UI" w:eastAsia="Microsoft YaHei UI" w:cs="Microsoft YaHei UI"/>
          <w:b w:val="0"/>
          <w:bCs w:val="0"/>
          <w:i w:val="0"/>
          <w:iCs w:val="0"/>
          <w:caps w:val="0"/>
          <w:spacing w:val="5"/>
          <w:sz w:val="16"/>
          <w:szCs w:val="16"/>
        </w:rPr>
        <w:t>  知道或者应当知道是他人实施刑法第一百九十一条规定的上游犯罪的所得及其产生的收益，为掩饰、隐瞒其来源和性质，实施该条第一款规定的洗钱行为的，依照刑法第一百九十一条的规定定罪处罚。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第三条 </w:t>
      </w:r>
      <w:r>
        <w:rPr>
          <w:rFonts w:hint="eastAsia" w:ascii="Microsoft YaHei UI" w:hAnsi="Microsoft YaHei UI" w:eastAsia="Microsoft YaHei UI" w:cs="Microsoft YaHei UI"/>
          <w:b w:val="0"/>
          <w:bCs w:val="0"/>
          <w:i w:val="0"/>
          <w:iCs w:val="0"/>
          <w:caps w:val="0"/>
          <w:spacing w:val="5"/>
          <w:sz w:val="16"/>
          <w:szCs w:val="16"/>
        </w:rPr>
        <w:t> 认定“知道或者应当知道”，应当根据行为人所接触、接收的信息，经手他人犯罪所得及其收益的情况，犯罪所得及其收益的种类、数额，犯罪所得及其收益的转移、转换方式，交易行为、资金账户等异常情况，结合行为人职业经历、与上游犯罪人员之间的关系以及其供述和辩解，同案人指证和证人证言等情况综合审查判断。有证据证明行为人确实不知道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将刑法第一百九十一条规定的某一上游犯罪的犯罪所得及其收益，认作该条规定的上游犯罪范围内的其他犯罪所得及其收益的，不影响“知道或者应当知道”的认定。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第四条</w:t>
      </w:r>
      <w:r>
        <w:rPr>
          <w:rFonts w:hint="eastAsia" w:ascii="Microsoft YaHei UI" w:hAnsi="Microsoft YaHei UI" w:eastAsia="Microsoft YaHei UI" w:cs="Microsoft YaHei UI"/>
          <w:b w:val="0"/>
          <w:bCs w:val="0"/>
          <w:i w:val="0"/>
          <w:iCs w:val="0"/>
          <w:caps w:val="0"/>
          <w:spacing w:val="5"/>
          <w:sz w:val="16"/>
          <w:szCs w:val="16"/>
        </w:rPr>
        <w:t>  洗钱数额在五百万元以上的，且具有下列情形之一的，应当认定为刑法第一百九十一条规定的“情节严重”：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（一）多次实施洗钱行为的；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（二）拒不配合财物追缴，致使赃款赃物无法追缴的；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（三）造成损失二百五十万元以上的；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（四）造成其他严重后果的。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二次以上实施洗钱犯罪行为，依法应予刑事处理而未经处理的，洗钱数额累计计算。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第五条</w:t>
      </w:r>
      <w:r>
        <w:rPr>
          <w:rFonts w:hint="eastAsia" w:ascii="Microsoft YaHei UI" w:hAnsi="Microsoft YaHei UI" w:eastAsia="Microsoft YaHei UI" w:cs="Microsoft YaHei UI"/>
          <w:b w:val="0"/>
          <w:bCs w:val="0"/>
          <w:i w:val="0"/>
          <w:iCs w:val="0"/>
          <w:caps w:val="0"/>
          <w:spacing w:val="5"/>
          <w:sz w:val="16"/>
          <w:szCs w:val="16"/>
        </w:rPr>
        <w:t>  为掩饰、隐瞒实施刑法第一百九十一条规定的上游犯罪的所得及其产生的收益的来源和性质，实施下列行为之一的，可以认定为刑法第一百九十一条第一款第五项规定的“以其他方法掩饰、隐瞒犯罪所得及其收益的来源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（一）通过典当、租赁、买卖、投资、拍卖、购买金融产品等方式，转移、转换犯罪所得及其收益的；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（二）通过与商场、饭店、娱乐场所等现金密集型场所的经营收入相混合的方式，转移、转换犯罪所得及其收益的；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（三）通过虚构交易、虚设债权债务、虚假担保、虚报收入等方式，转移、转换犯罪所得及其收益的；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（四）通过买卖彩票、奖券、储值卡、黄金等贵金属等方式，转换犯罪所得及其收益的；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（五）通过赌博方式，将犯罪所得及其收益转换为赌博收益的；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（六）通过“虚拟资产”交易、金融资产兑换方式，转移、转换犯罪所得及其收益的；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（七）以其他方式转移、转换犯罪所得及其收益的。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第六条</w:t>
      </w:r>
      <w:r>
        <w:rPr>
          <w:rFonts w:hint="eastAsia" w:ascii="Microsoft YaHei UI" w:hAnsi="Microsoft YaHei UI" w:eastAsia="Microsoft YaHei UI" w:cs="Microsoft YaHei UI"/>
          <w:b w:val="0"/>
          <w:bCs w:val="0"/>
          <w:i w:val="0"/>
          <w:iCs w:val="0"/>
          <w:caps w:val="0"/>
          <w:spacing w:val="5"/>
          <w:sz w:val="16"/>
          <w:szCs w:val="16"/>
        </w:rPr>
        <w:t>  掩饰、隐瞒刑法第一百九十一条规定的上游犯罪的犯罪所得及其产生的收益，构成刑法第一百九十一条规定的洗钱罪,同时又构成刑法第三百一十二条规定的掩饰、隐瞒犯罪所得、犯罪所得收益罪的，依照刑法第一百九十一条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实施刑法第一百九十一条规定的洗钱行为，构成洗钱罪，同时又构成刑法第三百四十九条、第二百二十五条、第一百七十七条之一或者第一百二十条之一规定的犯罪的，依照处罚较重的规定定罪处罚。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第七条</w:t>
      </w:r>
      <w:r>
        <w:rPr>
          <w:rFonts w:hint="eastAsia" w:ascii="Microsoft YaHei UI" w:hAnsi="Microsoft YaHei UI" w:eastAsia="Microsoft YaHei UI" w:cs="Microsoft YaHei UI"/>
          <w:b w:val="0"/>
          <w:bCs w:val="0"/>
          <w:i w:val="0"/>
          <w:iCs w:val="0"/>
          <w:caps w:val="0"/>
          <w:spacing w:val="5"/>
          <w:sz w:val="16"/>
          <w:szCs w:val="16"/>
        </w:rPr>
        <w:t>  认定洗钱罪应当以上游犯罪事实成立为前提。有下列情形的，不影响洗钱罪的认定：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（一）上游犯罪尚未依法裁判，但有证据证明确实存在的；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（二）有证据证明上游犯罪确实存在，因行为人逃匿未到案的；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（三）有证据证明上游犯罪确实存在，因行为人死亡等原因依法不予追究刑事责任的；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rPr>
        <w:t>（四）有证据证明上游犯罪确实存在，但同时构成其他犯罪而以其他罪名定罪处罚的。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第八条 </w:t>
      </w:r>
      <w:r>
        <w:rPr>
          <w:rFonts w:hint="eastAsia" w:ascii="Microsoft YaHei UI" w:hAnsi="Microsoft YaHei UI" w:eastAsia="Microsoft YaHei UI" w:cs="Microsoft YaHei UI"/>
          <w:b w:val="0"/>
          <w:bCs w:val="0"/>
          <w:i w:val="0"/>
          <w:iCs w:val="0"/>
          <w:caps w:val="0"/>
          <w:spacing w:val="5"/>
          <w:sz w:val="16"/>
          <w:szCs w:val="16"/>
        </w:rPr>
        <w:t> 刑法第一百九十一条规定的“黑社会性质的组织犯罪的所得及其产生的收益”，是指黑社会性质组织及其成员实施相关犯罪的所得及其产生的收益，包括黑社会性质组织的形成、发展过程中，该组织及组织成员通过违法犯罪活动聚敛的全部财物、财产性权益及其孳息、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第九条</w:t>
      </w:r>
      <w:r>
        <w:rPr>
          <w:rFonts w:hint="eastAsia" w:ascii="Microsoft YaHei UI" w:hAnsi="Microsoft YaHei UI" w:eastAsia="Microsoft YaHei UI" w:cs="Microsoft YaHei UI"/>
          <w:b w:val="0"/>
          <w:bCs w:val="0"/>
          <w:i w:val="0"/>
          <w:iCs w:val="0"/>
          <w:caps w:val="0"/>
          <w:spacing w:val="5"/>
          <w:sz w:val="16"/>
          <w:szCs w:val="16"/>
        </w:rPr>
        <w:t>  犯洗钱罪，判处五年以下有期徒刑或者拘役，并处或者单处罚金的，判处一万元以上罚金；判处五年以上十年以下有期徒刑的，并处二十万元以上罚金。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第十条 </w:t>
      </w:r>
      <w:r>
        <w:rPr>
          <w:rFonts w:hint="eastAsia" w:ascii="Microsoft YaHei UI" w:hAnsi="Microsoft YaHei UI" w:eastAsia="Microsoft YaHei UI" w:cs="Microsoft YaHei UI"/>
          <w:i w:val="0"/>
          <w:iCs w:val="0"/>
          <w:caps w:val="0"/>
          <w:spacing w:val="5"/>
          <w:sz w:val="16"/>
          <w:szCs w:val="16"/>
        </w:rPr>
        <w:t> </w:t>
      </w:r>
      <w:r>
        <w:rPr>
          <w:rFonts w:hint="eastAsia" w:ascii="Microsoft YaHei UI" w:hAnsi="Microsoft YaHei UI" w:eastAsia="Microsoft YaHei UI" w:cs="Microsoft YaHei UI"/>
          <w:b w:val="0"/>
          <w:bCs w:val="0"/>
          <w:i w:val="0"/>
          <w:iCs w:val="0"/>
          <w:caps w:val="0"/>
          <w:spacing w:val="5"/>
          <w:sz w:val="16"/>
          <w:szCs w:val="16"/>
        </w:rPr>
        <w:t>符合本解释第一条、第二条的规定，行为人如实供述犯罪事实，认罪悔罪，并积极配合追缴犯罪所得及其产生的收益的，可以从轻处罚；犯罪情节轻微的，可以依法不起诉或者免予刑事处罚。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第十一条 </w:t>
      </w:r>
      <w:r>
        <w:rPr>
          <w:rFonts w:hint="eastAsia" w:ascii="Microsoft YaHei UI" w:hAnsi="Microsoft YaHei UI" w:eastAsia="Microsoft YaHei UI" w:cs="Microsoft YaHei UI"/>
          <w:i w:val="0"/>
          <w:iCs w:val="0"/>
          <w:caps w:val="0"/>
          <w:spacing w:val="5"/>
          <w:sz w:val="16"/>
          <w:szCs w:val="16"/>
        </w:rPr>
        <w:t> </w:t>
      </w:r>
      <w:r>
        <w:rPr>
          <w:rFonts w:hint="eastAsia" w:ascii="Microsoft YaHei UI" w:hAnsi="Microsoft YaHei UI" w:eastAsia="Microsoft YaHei UI" w:cs="Microsoft YaHei UI"/>
          <w:b w:val="0"/>
          <w:bCs w:val="0"/>
          <w:i w:val="0"/>
          <w:iCs w:val="0"/>
          <w:caps w:val="0"/>
          <w:spacing w:val="5"/>
          <w:sz w:val="16"/>
          <w:szCs w:val="16"/>
        </w:rPr>
        <w:t>单位实施洗钱犯罪的，依照本解释规定的相应自然人犯罪的定罪量刑标准，对单位判处罚金，并对其直接负责的主管人员和其他直接责任人员定罪处罚。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Style w:val="6"/>
          <w:rFonts w:hint="eastAsia" w:ascii="Microsoft YaHei UI" w:hAnsi="Microsoft YaHei UI" w:eastAsia="Microsoft YaHei UI" w:cs="Microsoft YaHei UI"/>
          <w:i w:val="0"/>
          <w:iCs w:val="0"/>
          <w:caps w:val="0"/>
          <w:spacing w:val="5"/>
          <w:sz w:val="16"/>
          <w:szCs w:val="16"/>
        </w:rPr>
        <w:t>第十二条</w:t>
      </w:r>
      <w:r>
        <w:rPr>
          <w:rFonts w:hint="eastAsia" w:ascii="Microsoft YaHei UI" w:hAnsi="Microsoft YaHei UI" w:eastAsia="Microsoft YaHei UI" w:cs="Microsoft YaHei UI"/>
          <w:b w:val="0"/>
          <w:bCs w:val="0"/>
          <w:i w:val="0"/>
          <w:iCs w:val="0"/>
          <w:caps w:val="0"/>
          <w:spacing w:val="5"/>
          <w:sz w:val="16"/>
          <w:szCs w:val="16"/>
        </w:rPr>
        <w:t>  本解释所称“上游犯罪”，是指刑法第一百九十一条规定的毒品犯罪、黑社会性质的组织犯罪、恐怖活动犯罪、走私犯罪、贪污贿赂犯罪、破坏金融管理秩序犯罪、金融诈骗犯罪。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rPr>
          <w:rFonts w:hint="eastAsia" w:ascii="Microsoft YaHei UI" w:hAnsi="Microsoft YaHei UI" w:eastAsia="Microsoft YaHei UI" w:cs="Microsoft YaHei UI"/>
          <w:b w:val="0"/>
          <w:bCs w:val="0"/>
          <w:i w:val="0"/>
          <w:iCs w:val="0"/>
          <w:caps w:val="0"/>
          <w:spacing w:val="5"/>
          <w:sz w:val="16"/>
          <w:szCs w:val="16"/>
        </w:rPr>
      </w:pPr>
      <w:r>
        <w:rPr>
          <w:rStyle w:val="6"/>
          <w:rFonts w:hint="eastAsia" w:ascii="Microsoft YaHei UI" w:hAnsi="Microsoft YaHei UI" w:eastAsia="Microsoft YaHei UI" w:cs="Microsoft YaHei UI"/>
          <w:i w:val="0"/>
          <w:iCs w:val="0"/>
          <w:caps w:val="0"/>
          <w:spacing w:val="5"/>
          <w:sz w:val="16"/>
          <w:szCs w:val="16"/>
        </w:rPr>
        <w:t>第十三条</w:t>
      </w:r>
      <w:r>
        <w:rPr>
          <w:rFonts w:hint="eastAsia" w:ascii="Microsoft YaHei UI" w:hAnsi="Microsoft YaHei UI" w:eastAsia="Microsoft YaHei UI" w:cs="Microsoft YaHei UI"/>
          <w:b w:val="0"/>
          <w:bCs w:val="0"/>
          <w:i w:val="0"/>
          <w:iCs w:val="0"/>
          <w:caps w:val="0"/>
          <w:spacing w:val="5"/>
          <w:sz w:val="16"/>
          <w:szCs w:val="16"/>
        </w:rPr>
        <w:t>  本解释自2024年8月20日起施行。《最高人民法院关于审理洗钱等刑事案件具体应用法律若干问题的解释》（法释〔2009〕15号）同时废止。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rPr>
          <w:rFonts w:hint="eastAsia" w:ascii="Microsoft YaHei UI" w:hAnsi="Microsoft YaHei UI" w:eastAsia="Microsoft YaHei UI" w:cs="Microsoft YaHei UI"/>
          <w:b w:val="0"/>
          <w:bCs w:val="0"/>
          <w:i w:val="0"/>
          <w:iCs w:val="0"/>
          <w:caps w:val="0"/>
          <w:spacing w:val="5"/>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right"/>
        <w:rPr>
          <w:rFonts w:hint="eastAsia" w:ascii="Microsoft YaHei UI" w:hAnsi="Microsoft YaHei UI" w:eastAsia="Microsoft YaHei UI" w:cs="Microsoft YaHei UI"/>
          <w:b w:val="0"/>
          <w:bCs w:val="0"/>
          <w:i w:val="0"/>
          <w:iCs w:val="0"/>
          <w:caps w:val="0"/>
          <w:spacing w:val="5"/>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pPr>
      <w:r>
        <w:rPr>
          <w:rFonts w:hint="eastAsia" w:ascii="Microsoft YaHei UI" w:hAnsi="Microsoft YaHei UI" w:eastAsia="Microsoft YaHei UI" w:cs="Microsoft YaHei UI"/>
          <w:b w:val="0"/>
          <w:bCs w:val="0"/>
          <w:i w:val="0"/>
          <w:iCs w:val="0"/>
          <w:caps w:val="0"/>
          <w:spacing w:val="5"/>
          <w:sz w:val="16"/>
          <w:szCs w:val="16"/>
          <w:lang w:val="en-US" w:eastAsia="zh-CN"/>
        </w:rPr>
        <w:t>资料来源：</w:t>
      </w:r>
      <w:r>
        <w:rPr>
          <w:rFonts w:hint="eastAsia" w:ascii="Microsoft YaHei UI" w:hAnsi="Microsoft YaHei UI" w:eastAsia="Microsoft YaHei UI" w:cs="Microsoft YaHei UI"/>
          <w:b w:val="0"/>
          <w:bCs w:val="0"/>
          <w:i w:val="0"/>
          <w:iCs w:val="0"/>
          <w:caps w:val="0"/>
          <w:spacing w:val="5"/>
          <w:sz w:val="16"/>
          <w:szCs w:val="16"/>
        </w:rPr>
        <w:t>最高人民法院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6" w:lineRule="atLeast"/>
        <w:ind w:left="0" w:right="0"/>
        <w:jc w:val="both"/>
        <w:rPr>
          <w:rFonts w:hint="eastAsia" w:ascii="Microsoft YaHei UI" w:hAnsi="Microsoft YaHei UI" w:eastAsia="Microsoft YaHei UI" w:cs="Microsoft YaHei UI"/>
          <w:b w:val="0"/>
          <w:bCs w:val="0"/>
          <w:i w:val="0"/>
          <w:iCs w:val="0"/>
          <w:caps w:val="0"/>
          <w:spacing w:val="5"/>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96E2F"/>
    <w:rsid w:val="0C6665BD"/>
    <w:rsid w:val="2429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2024-08-26T08:41:00Z</dcterms:created>
  <dc:creator>王晨</dc:creator>
  <cp:lastModifiedBy>王晨</cp:lastModifiedBy>
  <dcterms:modified xsi:type="dcterms:W3CDTF">2024-08-26T08:48:55Z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CA0803AA5C3D4FEEB6EAA1BA5E2F8868</vt:lpwstr>
  </property>
</Properties>
</file>