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ascii="黑体" w:eastAsia="黑体"/>
          <w:sz w:val="36"/>
          <w:szCs w:val="36"/>
        </w:rPr>
      </w:pPr>
      <w:r>
        <w:rPr>
          <w:rFonts w:hint="eastAsia" w:ascii="黑体" w:eastAsia="黑体"/>
          <w:sz w:val="36"/>
          <w:szCs w:val="36"/>
          <w:lang w:val="en-US" w:eastAsia="zh-CN"/>
        </w:rPr>
        <w:t>民生证券股份有限公司主板投资</w:t>
      </w:r>
      <w:r>
        <w:rPr>
          <w:rFonts w:hint="eastAsia" w:ascii="黑体" w:eastAsia="黑体"/>
          <w:sz w:val="36"/>
          <w:szCs w:val="36"/>
        </w:rPr>
        <w:t>风险揭示书</w:t>
      </w:r>
    </w:p>
    <w:p>
      <w:pPr>
        <w:spacing w:line="240" w:lineRule="auto"/>
        <w:ind w:firstLine="0" w:firstLineChars="0"/>
        <w:jc w:val="center"/>
        <w:rPr>
          <w:rFonts w:hint="eastAsia" w:ascii="仿宋_GB2312" w:eastAsia="仿宋_GB2312"/>
          <w:sz w:val="28"/>
          <w:szCs w:val="28"/>
        </w:rPr>
      </w:pPr>
      <w:r>
        <w:rPr>
          <w:rFonts w:hint="eastAsia" w:ascii="方正小标宋简体" w:eastAsia="方正小标宋简体"/>
          <w:sz w:val="24"/>
          <w:szCs w:val="24"/>
        </w:rPr>
        <w:t xml:space="preserve">                           </w:t>
      </w:r>
    </w:p>
    <w:p>
      <w:pPr>
        <w:pStyle w:val="4"/>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仿宋_GB2312" w:eastAsia="仿宋_GB2312"/>
          <w:sz w:val="28"/>
          <w:szCs w:val="28"/>
        </w:rPr>
      </w:pPr>
      <w:r>
        <w:rPr>
          <w:rFonts w:hint="eastAsia" w:ascii="仿宋_GB2312" w:eastAsia="仿宋_GB2312"/>
          <w:sz w:val="28"/>
          <w:szCs w:val="28"/>
        </w:rPr>
        <w:t>尊敬的投资者：</w:t>
      </w:r>
    </w:p>
    <w:p>
      <w:pPr>
        <w:pStyle w:val="4"/>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仿宋_GB2312" w:eastAsia="仿宋_GB2312" w:cs="仿宋_GB2312"/>
          <w:bCs/>
          <w:kern w:val="2"/>
          <w:sz w:val="28"/>
          <w:szCs w:val="28"/>
          <w:lang w:val="en-US" w:eastAsia="zh-CN" w:bidi="ar-SA"/>
        </w:rPr>
      </w:pPr>
      <w:r>
        <w:rPr>
          <w:rFonts w:ascii="仿宋_GB2312" w:hAnsi="Times New Roman" w:eastAsia="仿宋_GB2312"/>
          <w:kern w:val="0"/>
          <w:sz w:val="28"/>
          <w:szCs w:val="28"/>
        </w:rPr>
        <w:t>为使</w:t>
      </w:r>
      <w:r>
        <w:rPr>
          <w:rFonts w:hint="eastAsia" w:ascii="仿宋_GB2312" w:hAnsi="Times New Roman" w:eastAsia="仿宋_GB2312"/>
          <w:kern w:val="0"/>
          <w:sz w:val="28"/>
          <w:szCs w:val="28"/>
          <w:lang w:val="en-US" w:eastAsia="zh-CN"/>
        </w:rPr>
        <w:t>您</w:t>
      </w:r>
      <w:r>
        <w:rPr>
          <w:rFonts w:ascii="仿宋_GB2312" w:hAnsi="Times New Roman" w:eastAsia="仿宋_GB2312"/>
          <w:kern w:val="0"/>
          <w:sz w:val="28"/>
          <w:szCs w:val="28"/>
        </w:rPr>
        <w:t>充分了解</w:t>
      </w:r>
      <w:r>
        <w:rPr>
          <w:rFonts w:hint="eastAsia" w:ascii="仿宋_GB2312" w:hAnsi="Times New Roman" w:eastAsia="仿宋_GB2312"/>
          <w:kern w:val="0"/>
          <w:sz w:val="28"/>
          <w:szCs w:val="28"/>
        </w:rPr>
        <w:t>上海证券交易所</w:t>
      </w:r>
      <w:r>
        <w:rPr>
          <w:rFonts w:hint="eastAsia" w:ascii="仿宋_GB2312" w:hAnsi="Times New Roman" w:eastAsia="仿宋_GB2312"/>
          <w:kern w:val="0"/>
          <w:sz w:val="28"/>
          <w:szCs w:val="28"/>
          <w:lang w:eastAsia="zh-CN"/>
        </w:rPr>
        <w:t>、</w:t>
      </w:r>
      <w:r>
        <w:rPr>
          <w:rFonts w:hint="eastAsia" w:ascii="仿宋_GB2312" w:hAnsi="Times New Roman" w:eastAsia="仿宋_GB2312"/>
          <w:kern w:val="0"/>
          <w:sz w:val="28"/>
          <w:szCs w:val="28"/>
          <w:lang w:val="en-US" w:eastAsia="zh-CN"/>
        </w:rPr>
        <w:t>深圳证券交易所</w:t>
      </w:r>
      <w:r>
        <w:rPr>
          <w:rFonts w:hint="eastAsia" w:ascii="仿宋_GB2312" w:hAnsi="Times New Roman" w:eastAsia="仿宋_GB2312"/>
          <w:kern w:val="0"/>
          <w:sz w:val="28"/>
          <w:szCs w:val="28"/>
        </w:rPr>
        <w:t>（以下简称</w:t>
      </w:r>
      <w:r>
        <w:rPr>
          <w:rFonts w:hint="eastAsia" w:ascii="仿宋_GB2312" w:hAnsi="Times New Roman" w:eastAsia="仿宋_GB2312"/>
          <w:kern w:val="0"/>
          <w:sz w:val="28"/>
          <w:szCs w:val="28"/>
          <w:lang w:val="en-US" w:eastAsia="zh-CN"/>
        </w:rPr>
        <w:t>沪深</w:t>
      </w:r>
      <w:r>
        <w:rPr>
          <w:rFonts w:hint="eastAsia" w:ascii="仿宋_GB2312" w:hAnsi="Times New Roman" w:eastAsia="仿宋_GB2312"/>
          <w:kern w:val="0"/>
          <w:sz w:val="28"/>
          <w:szCs w:val="28"/>
        </w:rPr>
        <w:t>交</w:t>
      </w:r>
      <w:r>
        <w:rPr>
          <w:rFonts w:hint="eastAsia" w:ascii="仿宋_GB2312" w:hAnsi="Times New Roman" w:eastAsia="仿宋_GB2312"/>
          <w:kern w:val="0"/>
          <w:sz w:val="28"/>
          <w:szCs w:val="28"/>
          <w:lang w:val="en-US" w:eastAsia="zh-CN"/>
        </w:rPr>
        <w:t>易</w:t>
      </w:r>
      <w:r>
        <w:rPr>
          <w:rFonts w:hint="eastAsia" w:ascii="仿宋_GB2312" w:hAnsi="Times New Roman" w:eastAsia="仿宋_GB2312"/>
          <w:kern w:val="0"/>
          <w:sz w:val="28"/>
          <w:szCs w:val="28"/>
        </w:rPr>
        <w:t>所）</w:t>
      </w:r>
      <w:r>
        <w:rPr>
          <w:rFonts w:hint="eastAsia" w:ascii="仿宋_GB2312" w:hAnsi="Times New Roman" w:eastAsia="仿宋_GB2312"/>
          <w:kern w:val="0"/>
          <w:sz w:val="28"/>
          <w:szCs w:val="28"/>
          <w:lang w:val="en-US" w:eastAsia="zh-CN"/>
        </w:rPr>
        <w:t>主板</w:t>
      </w:r>
      <w:r>
        <w:rPr>
          <w:rFonts w:ascii="仿宋_GB2312" w:hAnsi="Times New Roman" w:eastAsia="仿宋_GB2312"/>
          <w:kern w:val="0"/>
          <w:sz w:val="28"/>
          <w:szCs w:val="28"/>
        </w:rPr>
        <w:t>的</w:t>
      </w:r>
      <w:r>
        <w:rPr>
          <w:rFonts w:hint="eastAsia" w:ascii="仿宋_GB2312" w:hAnsi="Times New Roman" w:eastAsia="仿宋_GB2312"/>
          <w:kern w:val="0"/>
          <w:sz w:val="28"/>
          <w:szCs w:val="28"/>
          <w:lang w:val="en-US" w:eastAsia="zh-CN"/>
        </w:rPr>
        <w:t>相关</w:t>
      </w:r>
      <w:r>
        <w:rPr>
          <w:rFonts w:ascii="仿宋_GB2312" w:hAnsi="Times New Roman" w:eastAsia="仿宋_GB2312"/>
          <w:kern w:val="0"/>
          <w:sz w:val="28"/>
          <w:szCs w:val="28"/>
        </w:rPr>
        <w:t>风险，</w:t>
      </w:r>
      <w:r>
        <w:rPr>
          <w:rFonts w:hint="eastAsia" w:ascii="仿宋_GB2312" w:hAnsi="Times New Roman" w:eastAsia="仿宋_GB2312"/>
          <w:kern w:val="0"/>
          <w:sz w:val="28"/>
          <w:szCs w:val="28"/>
          <w:lang w:val="en-US" w:eastAsia="zh-CN"/>
        </w:rPr>
        <w:t>民生证券股份有限</w:t>
      </w:r>
      <w:r>
        <w:rPr>
          <w:rFonts w:ascii="仿宋_GB2312" w:hAnsi="Times New Roman" w:eastAsia="仿宋_GB2312"/>
          <w:kern w:val="0"/>
          <w:sz w:val="28"/>
          <w:szCs w:val="28"/>
        </w:rPr>
        <w:t>公司</w:t>
      </w:r>
      <w:r>
        <w:rPr>
          <w:rFonts w:hint="eastAsia" w:ascii="仿宋_GB2312" w:hAnsi="Times New Roman" w:eastAsia="仿宋_GB2312"/>
          <w:kern w:val="0"/>
          <w:sz w:val="28"/>
          <w:szCs w:val="28"/>
          <w:lang w:val="en-US" w:eastAsia="zh-CN"/>
        </w:rPr>
        <w:t>特</w:t>
      </w:r>
      <w:r>
        <w:rPr>
          <w:rFonts w:ascii="仿宋_GB2312" w:hAnsi="Times New Roman" w:eastAsia="仿宋_GB2312"/>
          <w:kern w:val="0"/>
          <w:sz w:val="28"/>
          <w:szCs w:val="28"/>
        </w:rPr>
        <w:t>制定《</w:t>
      </w:r>
      <w:r>
        <w:rPr>
          <w:rFonts w:hint="eastAsia" w:ascii="仿宋_GB2312" w:hAnsi="Times New Roman" w:eastAsia="仿宋_GB2312"/>
          <w:kern w:val="0"/>
          <w:sz w:val="28"/>
          <w:szCs w:val="28"/>
          <w:lang w:val="en-US" w:eastAsia="zh-CN"/>
        </w:rPr>
        <w:t>主板投资风险揭示书</w:t>
      </w:r>
      <w:r>
        <w:rPr>
          <w:rFonts w:ascii="仿宋_GB2312" w:hAnsi="Times New Roman" w:eastAsia="仿宋_GB2312"/>
          <w:kern w:val="0"/>
          <w:sz w:val="28"/>
          <w:szCs w:val="28"/>
        </w:rPr>
        <w:t>》（以下简称</w:t>
      </w:r>
      <w:r>
        <w:rPr>
          <w:rFonts w:hint="eastAsia" w:ascii="仿宋_GB2312" w:hAnsi="Times New Roman" w:eastAsia="仿宋_GB2312"/>
          <w:kern w:val="0"/>
          <w:sz w:val="28"/>
          <w:szCs w:val="28"/>
        </w:rPr>
        <w:t>“</w:t>
      </w:r>
      <w:r>
        <w:rPr>
          <w:rFonts w:ascii="仿宋_GB2312" w:hAnsi="Times New Roman" w:eastAsia="仿宋_GB2312"/>
          <w:kern w:val="0"/>
          <w:sz w:val="28"/>
          <w:szCs w:val="28"/>
        </w:rPr>
        <w:t>《风险揭示书》</w:t>
      </w:r>
      <w:r>
        <w:rPr>
          <w:rFonts w:hint="eastAsia" w:ascii="仿宋_GB2312" w:hAnsi="Times New Roman" w:eastAsia="仿宋_GB2312"/>
          <w:kern w:val="0"/>
          <w:sz w:val="28"/>
          <w:szCs w:val="28"/>
        </w:rPr>
        <w:t>”</w:t>
      </w:r>
      <w:r>
        <w:rPr>
          <w:rFonts w:ascii="仿宋_GB2312" w:hAnsi="Times New Roman" w:eastAsia="仿宋_GB2312"/>
          <w:kern w:val="0"/>
          <w:sz w:val="28"/>
          <w:szCs w:val="28"/>
        </w:rPr>
        <w:t>），向</w:t>
      </w:r>
      <w:r>
        <w:rPr>
          <w:rFonts w:hint="eastAsia" w:ascii="仿宋_GB2312" w:hAnsi="Times New Roman" w:eastAsia="仿宋_GB2312"/>
          <w:kern w:val="0"/>
          <w:sz w:val="28"/>
          <w:szCs w:val="28"/>
          <w:lang w:val="en-US" w:eastAsia="zh-CN"/>
        </w:rPr>
        <w:t>您</w:t>
      </w:r>
      <w:r>
        <w:rPr>
          <w:rFonts w:ascii="仿宋_GB2312" w:hAnsi="Times New Roman" w:eastAsia="仿宋_GB2312"/>
          <w:kern w:val="0"/>
          <w:sz w:val="28"/>
          <w:szCs w:val="28"/>
        </w:rPr>
        <w:t>充分揭示参与</w:t>
      </w:r>
      <w:r>
        <w:rPr>
          <w:rFonts w:hint="eastAsia" w:ascii="仿宋_GB2312" w:hAnsi="Times New Roman" w:eastAsia="仿宋_GB2312"/>
          <w:kern w:val="0"/>
          <w:sz w:val="28"/>
          <w:szCs w:val="28"/>
        </w:rPr>
        <w:t>主板股票、存托凭证（以下统称股票）申购、交易</w:t>
      </w:r>
      <w:r>
        <w:rPr>
          <w:rFonts w:ascii="仿宋_GB2312" w:hAnsi="Times New Roman" w:eastAsia="仿宋_GB2312"/>
          <w:kern w:val="0"/>
          <w:sz w:val="28"/>
          <w:szCs w:val="28"/>
        </w:rPr>
        <w:t>面临的风险。</w:t>
      </w:r>
      <w:r>
        <w:rPr>
          <w:rFonts w:hint="eastAsia" w:ascii="仿宋_GB2312" w:hAnsi="Times New Roman" w:eastAsia="仿宋_GB2312"/>
          <w:kern w:val="0"/>
          <w:sz w:val="28"/>
          <w:szCs w:val="28"/>
          <w:lang w:val="en-US" w:eastAsia="zh-CN"/>
        </w:rPr>
        <w:t>请您务必在参与主板业务前仔细阅读风险揭示书的相关内容，</w:t>
      </w:r>
      <w:r>
        <w:rPr>
          <w:rFonts w:hint="eastAsia" w:ascii="仿宋_GB2312" w:hAnsi="仿宋_GB2312" w:eastAsia="仿宋_GB2312" w:cs="仿宋_GB2312"/>
          <w:bCs/>
          <w:sz w:val="28"/>
          <w:szCs w:val="28"/>
        </w:rPr>
        <w:t>充分知悉</w:t>
      </w:r>
      <w:r>
        <w:rPr>
          <w:rFonts w:hint="eastAsia" w:ascii="仿宋_GB2312" w:hAnsi="Times New Roman" w:eastAsia="仿宋_GB2312" w:cs="Times New Roman"/>
          <w:kern w:val="0"/>
          <w:sz w:val="28"/>
          <w:szCs w:val="28"/>
          <w:lang w:val="en-US" w:eastAsia="zh-CN"/>
        </w:rPr>
        <w:t>主板业务</w:t>
      </w:r>
      <w:r>
        <w:rPr>
          <w:rFonts w:hint="eastAsia" w:ascii="仿宋_GB2312" w:hAnsi="仿宋_GB2312" w:eastAsia="仿宋_GB2312" w:cs="仿宋_GB2312"/>
          <w:bCs/>
          <w:sz w:val="28"/>
          <w:szCs w:val="28"/>
        </w:rPr>
        <w:t>的各项风险</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kern w:val="2"/>
          <w:sz w:val="28"/>
          <w:szCs w:val="28"/>
          <w:lang w:val="en-US" w:eastAsia="zh-CN" w:bidi="ar-SA"/>
        </w:rPr>
        <w:t>具体内容如下：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 xml:space="preserve">一、全面实行股票发行注册制后，主板股票发行、上市、交易、持续监管等相关制度安排发生一定变化，投资者应当充分知悉并关注相关规则。 </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二、主板上市公司可能存在有累计未弥补亏损、最近3个会计年度未能连续盈利等情形；已在境外上市的红筹企业、未在境外上市的红筹企业、存在表决权差异安排的企业具有差异化上市标准，投资者应当关注。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三、首次公开发行主板股票可能采用直接定价或者询价定价方式。采用询价定价方式的，询价对象除了证券公司等八类专业机构投资者外，还包括符合一定条件的其他法人和组织、个人投资者。</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四、首次公开发行主板股票采用询价方式的，初步询价结束后，发行人预计发行后总市值不满足其在招股说明书中明确选择的市值与财务指标上市标准的，将按规定中止发行。</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五、首次公开发行主板股票采用询价方式的，可能存在发行价格超过剔除最高报价部分后全部网下投资者剩余报价的中位数和加权平均数，以及公募基金等六类产品剩余报价的中位数和加权平均数的孰低值的情况；可能存在发行价格超过境外市场价格或者其对应市盈率超过同行业上市公司二级市场平均市盈率等情形，投资者参与申购前应关注投资风险特别公告等与定价合理性相关的信息，注意投资风险。</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六、根据首次公开发行主板股票发行后总股本差异等情形，网上初始发行比例可能有所差别；根据网上投资者有效申购倍数差异，可能存在不同的网下向网上回拨比例，投资者应当关注。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七、首次公开发行主板股票时，发行人和主承销商可以采用超额配售选择权，即存在发行人增发主板股票的可能性。投资者应关注发行公告中披露全额行使超额配售选择权拟发行证券的具体数量。</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八、主板股票可能主动终止上市，也可能因触及强制退市情形被终止上市。主动退市或因触及交易类强制退市情形被终止上市的主板股票，不进入退市整理期，直接予以摘牌；因触及重大违法类、财务类或者规范类强制退市情形被终止上市的主板股票，进入退市整理期交易15个交易日后予以摘牌。投资者应当及时了解相关信息和规定，密切关注退市风险。</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九、主板上市公司可能设置表决权差异安排。上市公司可能根据此项安排，存在控制权相对集中，以及因每一特别表决权股份拥有的表决权数量大于每一普通股份拥有的表决权数量等情形，而使普通投资者的表决权利及对公司日常经营等事务的影响力受到限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十、出现</w:t>
      </w:r>
      <w:r>
        <w:rPr>
          <w:rFonts w:hint="eastAsia" w:ascii="仿宋_GB2312" w:hAnsi="Times New Roman" w:eastAsia="仿宋_GB2312"/>
          <w:kern w:val="0"/>
          <w:sz w:val="28"/>
          <w:szCs w:val="28"/>
          <w:lang w:val="en-US" w:eastAsia="zh-CN"/>
        </w:rPr>
        <w:t>沪深交易所</w:t>
      </w:r>
      <w:r>
        <w:rPr>
          <w:rFonts w:hint="eastAsia" w:ascii="仿宋_GB2312" w:hAnsi="Times New Roman" w:eastAsia="仿宋_GB2312"/>
          <w:kern w:val="0"/>
          <w:sz w:val="28"/>
          <w:szCs w:val="28"/>
        </w:rPr>
        <w:t>《股票上市规则》以及上市公司章程规定的情形时，特别表决权股份将按1:1的比例转换为普通股份。股份转换自相关情形发生时即生效，可能与相关股份转换登记时点存在差异。投资者需及时关注上市公司相关公告，以了解特别表决权股份变动事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十一、主板普通股票及退市整理股票价格涨跌幅限制为10%，风险警示股票为5%，但主板股票在首次公开发行上市后的前5个交易日、进入退市整理期的首日、退市后重新上市首日以及</w:t>
      </w:r>
      <w:r>
        <w:rPr>
          <w:rFonts w:hint="eastAsia" w:ascii="仿宋_GB2312" w:hAnsi="Times New Roman" w:eastAsia="仿宋_GB2312"/>
          <w:kern w:val="0"/>
          <w:sz w:val="28"/>
          <w:szCs w:val="28"/>
          <w:lang w:val="en-US" w:eastAsia="zh-CN"/>
        </w:rPr>
        <w:t>沪深交易</w:t>
      </w:r>
      <w:r>
        <w:rPr>
          <w:rFonts w:hint="eastAsia" w:ascii="仿宋_GB2312" w:hAnsi="Times New Roman" w:eastAsia="仿宋_GB2312"/>
          <w:kern w:val="0"/>
          <w:sz w:val="28"/>
          <w:szCs w:val="28"/>
        </w:rPr>
        <w:t>所认定的其他情形下不实行价格涨跌幅限制，投资者应当关注可能发生的股价波动风险。</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十二、投资者应当关注主板无价格涨跌幅限制股票竞价交易实施盘中临时停牌机制。盘中交易价格较当日开盘价格首次上涨或下跌达到或超过30%、60%，以及出现证监会或者</w:t>
      </w:r>
      <w:r>
        <w:rPr>
          <w:rFonts w:hint="eastAsia" w:ascii="仿宋_GB2312" w:hAnsi="Times New Roman" w:eastAsia="仿宋_GB2312"/>
          <w:kern w:val="0"/>
          <w:sz w:val="28"/>
          <w:szCs w:val="28"/>
          <w:lang w:val="en-US" w:eastAsia="zh-CN"/>
        </w:rPr>
        <w:t>沪深交易所</w:t>
      </w:r>
      <w:r>
        <w:rPr>
          <w:rFonts w:hint="eastAsia" w:ascii="仿宋_GB2312" w:hAnsi="Times New Roman" w:eastAsia="仿宋_GB2312"/>
          <w:kern w:val="0"/>
          <w:sz w:val="28"/>
          <w:szCs w:val="28"/>
        </w:rPr>
        <w:t>认定的其他情形的，单次临时停牌时间为10分钟，停牌时间跨越14:57且须于当日复牌的，于当日14:57复牌并对已接受的申报进行复牌集合竞价，再进行收盘集合竞价。</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十三、投资者应当关注股票集合竞价和连续竞价阶段有效申报价格范围的相关要求，避免影响申报。申报时超过涨跌幅限制价格或者有效申报价格范围的申报为无效申报。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十四、按照《首次公开发行股票注册管理办法》发行的主板股票，上市首日即可作为融资融券标的，投资者应注意相关风险。</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十五、投资者应当关注主板股票交易可能触发的异常波动和严重异常波动情形，知悉严重异常波动情形可能导致停牌核查，审慎参与相关股票交易。</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 xml:space="preserve">十六、符合相关规定的红筹企业可以在主板上市。红筹企业在境外注册，可能采用协议控制架构，在上市标准、信息披露、分红派息、退市标准等方面可能与境内上市公司存在差异。红筹企业的股权结构、公司治理、运行规范等事项适用境外注册地公司法等法律法规的，其投资者权益保护水平总体上应不低于境内法律法规等要求，但可能与境内法律法规等要求为境内投资者权益提供的保护存在差异。                                                                                                                                                                                                                                                                                                                                                                                                                                                                                                                                                                                                                                                                                                                                                                                                                                                                                                                                                                                                                                                                                                                                                                                                                                                                                                                                                                                                                                                                                                                                                                                                                                                                                                                                                                                                                                                                                                                                                                                                                                                                                                                                                                         </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 xml:space="preserve">    十七、红筹企业可以发行股票或存托凭证并在主板上市。存托凭证由存托人签发、以境外证券为基础在中国境内发行，代表境外基础证券权益。红筹企业存托凭证持有人实际享有的权益与境外基础证券持有人的权益虽然基本相当,但并不能等同于直接持有境外基础证券。投资者应当充分知悉存托协议和相关规则的具体内容，关注交易和持有过程中可能存在的风险。</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kern w:val="0"/>
          <w:sz w:val="28"/>
          <w:szCs w:val="28"/>
          <w:lang w:eastAsia="zh-CN"/>
        </w:rPr>
      </w:pPr>
      <w:r>
        <w:rPr>
          <w:rFonts w:hint="eastAsia" w:ascii="仿宋_GB2312" w:hAnsi="Times New Roman" w:eastAsia="仿宋_GB2312"/>
          <w:kern w:val="0"/>
          <w:sz w:val="28"/>
          <w:szCs w:val="28"/>
        </w:rPr>
        <w:t>十八、主板相关法律、行政法规、部门规章、规范性文件（以下简称法律法规）和交易所业务规则，可能根据市场情况进行修改，或者制定新的法律法规和业务规则，投资者应当及时予以关注和了解</w:t>
      </w:r>
      <w:r>
        <w:rPr>
          <w:rFonts w:hint="eastAsia" w:ascii="仿宋_GB2312" w:hAnsi="Times New Roman" w:eastAsia="仿宋_GB2312"/>
          <w:kern w:val="0"/>
          <w:sz w:val="28"/>
          <w:szCs w:val="28"/>
          <w:lang w:eastAsia="zh-CN"/>
        </w:rPr>
        <w:t>。</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仿宋_GB2312" w:hAnsi="Times New Roman" w:eastAsia="仿宋_GB2312"/>
          <w:b/>
          <w:bCs/>
          <w:kern w:val="0"/>
          <w:sz w:val="28"/>
          <w:szCs w:val="28"/>
        </w:rPr>
      </w:pPr>
    </w:p>
    <w:p>
      <w:pPr>
        <w:pStyle w:val="4"/>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仿宋_GB2312" w:hAnsi="Times New Roman" w:eastAsia="仿宋_GB2312"/>
          <w:b/>
          <w:bCs/>
          <w:kern w:val="0"/>
          <w:sz w:val="28"/>
          <w:szCs w:val="28"/>
        </w:rPr>
      </w:pPr>
      <w:r>
        <w:rPr>
          <w:rFonts w:hint="eastAsia" w:ascii="仿宋_GB2312" w:hAnsi="Times New Roman" w:eastAsia="仿宋_GB2312"/>
          <w:b/>
          <w:bCs/>
          <w:kern w:val="0"/>
          <w:sz w:val="28"/>
          <w:szCs w:val="28"/>
        </w:rPr>
        <w:t>本</w:t>
      </w:r>
      <w:r>
        <w:rPr>
          <w:rFonts w:hint="eastAsia" w:ascii="仿宋_GB2312" w:hAnsi="Times New Roman" w:eastAsia="仿宋_GB2312"/>
          <w:b/>
          <w:bCs/>
          <w:kern w:val="0"/>
          <w:sz w:val="28"/>
          <w:szCs w:val="28"/>
          <w:lang w:eastAsia="zh-CN"/>
        </w:rPr>
        <w:t>《</w:t>
      </w:r>
      <w:r>
        <w:rPr>
          <w:rFonts w:hint="eastAsia" w:ascii="仿宋_GB2312" w:hAnsi="Times New Roman" w:eastAsia="仿宋_GB2312"/>
          <w:b/>
          <w:bCs/>
          <w:kern w:val="0"/>
          <w:sz w:val="28"/>
          <w:szCs w:val="28"/>
        </w:rPr>
        <w:t>风险揭示书</w:t>
      </w:r>
      <w:r>
        <w:rPr>
          <w:rFonts w:hint="eastAsia" w:ascii="仿宋_GB2312" w:hAnsi="Times New Roman" w:eastAsia="仿宋_GB2312"/>
          <w:b/>
          <w:bCs/>
          <w:kern w:val="0"/>
          <w:sz w:val="28"/>
          <w:szCs w:val="28"/>
          <w:lang w:eastAsia="zh-CN"/>
        </w:rPr>
        <w:t>》</w:t>
      </w:r>
      <w:r>
        <w:rPr>
          <w:rFonts w:hint="eastAsia" w:ascii="仿宋_GB2312" w:hAnsi="Times New Roman" w:eastAsia="仿宋_GB2312"/>
          <w:b/>
          <w:bCs/>
          <w:kern w:val="0"/>
          <w:sz w:val="28"/>
          <w:szCs w:val="28"/>
        </w:rPr>
        <w:t>的揭示事项仅为列举事项，未能详尽载明该项业务的所有风险。投资者在参与该项业务前，应当认真阅读信息披露公告、业务协议、产品说明书等法律文件，熟悉该项业务相关法律法规、交易所相关业务规则等，对其他可能存在的风险因素也应当有所了解和掌握，并确信自己已经做好足够的风险控制和财务安排，避免因参与该项业务遭受难以承受的风险。</w:t>
      </w:r>
    </w:p>
    <w:p>
      <w:pPr>
        <w:pStyle w:val="4"/>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仿宋_GB2312" w:hAnsi="Times New Roman" w:eastAsia="仿宋_GB2312"/>
          <w:b/>
          <w:bCs/>
          <w:kern w:val="0"/>
          <w:sz w:val="28"/>
          <w:szCs w:val="28"/>
        </w:rPr>
      </w:pPr>
      <w:r>
        <w:rPr>
          <w:rFonts w:hint="eastAsia" w:ascii="仿宋_GB2312" w:hAnsi="Times New Roman" w:eastAsia="仿宋_GB2312"/>
          <w:b/>
          <w:bCs/>
          <w:kern w:val="0"/>
          <w:sz w:val="28"/>
          <w:szCs w:val="28"/>
        </w:rPr>
        <w:t>特别提示：您在本《风险揭示书》上签字，即表明您确认已知晓并理解风险揭示的全部内容，愿意承担参与</w:t>
      </w:r>
      <w:r>
        <w:rPr>
          <w:rFonts w:hint="eastAsia" w:ascii="仿宋_GB2312" w:hAnsi="Times New Roman" w:eastAsia="仿宋_GB2312"/>
          <w:b/>
          <w:bCs/>
          <w:kern w:val="0"/>
          <w:sz w:val="28"/>
          <w:szCs w:val="28"/>
          <w:lang w:val="en-US" w:eastAsia="zh-CN"/>
        </w:rPr>
        <w:t>主板股票交易</w:t>
      </w:r>
      <w:r>
        <w:rPr>
          <w:rFonts w:hint="eastAsia" w:ascii="仿宋_GB2312" w:hAnsi="Times New Roman" w:eastAsia="仿宋_GB2312"/>
          <w:b/>
          <w:bCs/>
          <w:kern w:val="0"/>
          <w:sz w:val="28"/>
          <w:szCs w:val="28"/>
        </w:rPr>
        <w:t>的风险和损失。</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ascii="华文仿宋" w:hAnsi="华文仿宋" w:eastAsia="华文仿宋"/>
          <w:kern w:val="0"/>
          <w:sz w:val="24"/>
        </w:rPr>
      </w:pPr>
    </w:p>
    <w:p>
      <w:pPr>
        <w:pStyle w:val="3"/>
        <w:keepNext w:val="0"/>
        <w:keepLines w:val="0"/>
        <w:pageBreakBefore w:val="0"/>
        <w:widowControl w:val="0"/>
        <w:kinsoku/>
        <w:wordWrap/>
        <w:overflowPunct/>
        <w:topLinePunct w:val="0"/>
        <w:autoSpaceDE/>
        <w:autoSpaceDN/>
        <w:bidi w:val="0"/>
        <w:adjustRightInd/>
        <w:snapToGrid/>
        <w:spacing w:before="236" w:line="440" w:lineRule="exact"/>
        <w:ind w:left="1204" w:firstLine="3080" w:firstLineChars="1100"/>
        <w:jc w:val="both"/>
        <w:textAlignment w:val="auto"/>
        <w:rPr>
          <w:sz w:val="28"/>
          <w:szCs w:val="28"/>
          <w:lang w:eastAsia="zh-CN"/>
        </w:rPr>
      </w:pPr>
      <w:r>
        <w:rPr>
          <w:rFonts w:hint="eastAsia"/>
          <w:sz w:val="28"/>
          <w:szCs w:val="28"/>
          <w:lang w:eastAsia="zh-CN"/>
        </w:rPr>
        <w:t>投资者</w:t>
      </w:r>
      <w:r>
        <w:rPr>
          <w:rFonts w:hint="eastAsia"/>
          <w:sz w:val="28"/>
          <w:szCs w:val="28"/>
          <w:lang w:val="en-US" w:eastAsia="zh-CN"/>
        </w:rPr>
        <w:t>签章</w:t>
      </w:r>
      <w:r>
        <w:rPr>
          <w:sz w:val="28"/>
          <w:szCs w:val="28"/>
          <w:lang w:eastAsia="zh-CN"/>
        </w:rPr>
        <w:t>：</w:t>
      </w:r>
    </w:p>
    <w:p>
      <w:pPr>
        <w:pStyle w:val="3"/>
        <w:keepNext w:val="0"/>
        <w:keepLines w:val="0"/>
        <w:pageBreakBefore w:val="0"/>
        <w:widowControl w:val="0"/>
        <w:tabs>
          <w:tab w:val="left" w:pos="6571"/>
          <w:tab w:val="left" w:pos="7322"/>
          <w:tab w:val="left" w:pos="8071"/>
        </w:tabs>
        <w:kinsoku/>
        <w:wordWrap/>
        <w:overflowPunct/>
        <w:topLinePunct w:val="0"/>
        <w:autoSpaceDE/>
        <w:autoSpaceDN/>
        <w:bidi w:val="0"/>
        <w:adjustRightInd/>
        <w:snapToGrid/>
        <w:spacing w:before="236" w:line="440" w:lineRule="exact"/>
        <w:ind w:left="4267" w:leftChars="2032" w:right="175"/>
        <w:jc w:val="both"/>
        <w:textAlignment w:val="auto"/>
        <w:rPr>
          <w:rFonts w:ascii="华文仿宋" w:hAnsi="华文仿宋" w:eastAsia="华文仿宋"/>
          <w:kern w:val="0"/>
          <w:sz w:val="24"/>
        </w:rPr>
      </w:pPr>
      <w:r>
        <w:rPr>
          <w:sz w:val="28"/>
          <w:szCs w:val="28"/>
          <w:lang w:eastAsia="zh-CN"/>
        </w:rPr>
        <w:t>签署日期：</w:t>
      </w:r>
      <w:r>
        <w:rPr>
          <w:rFonts w:hint="eastAsia"/>
          <w:sz w:val="28"/>
          <w:szCs w:val="28"/>
          <w:lang w:val="en-US" w:eastAsia="zh-CN"/>
        </w:rPr>
        <w:t xml:space="preserve">   </w:t>
      </w:r>
      <w:r>
        <w:rPr>
          <w:sz w:val="28"/>
          <w:szCs w:val="28"/>
          <w:lang w:eastAsia="zh-CN"/>
        </w:rPr>
        <w:t>年</w:t>
      </w:r>
      <w:r>
        <w:rPr>
          <w:sz w:val="28"/>
          <w:szCs w:val="28"/>
          <w:lang w:eastAsia="zh-CN"/>
        </w:rPr>
        <w:tab/>
      </w:r>
      <w:r>
        <w:rPr>
          <w:rFonts w:hint="eastAsia"/>
          <w:sz w:val="28"/>
          <w:szCs w:val="28"/>
          <w:lang w:val="en-US" w:eastAsia="zh-CN"/>
        </w:rPr>
        <w:t xml:space="preserve">  </w:t>
      </w:r>
      <w:r>
        <w:rPr>
          <w:sz w:val="28"/>
          <w:szCs w:val="28"/>
          <w:lang w:eastAsia="zh-CN"/>
        </w:rPr>
        <w:t>月</w:t>
      </w:r>
      <w:r>
        <w:rPr>
          <w:sz w:val="28"/>
          <w:szCs w:val="28"/>
          <w:lang w:eastAsia="zh-CN"/>
        </w:rPr>
        <w:tab/>
      </w:r>
      <w:r>
        <w:rPr>
          <w:rFonts w:hint="eastAsia"/>
          <w:sz w:val="28"/>
          <w:szCs w:val="28"/>
          <w:lang w:val="en-US" w:eastAsia="zh-CN"/>
        </w:rPr>
        <w:t xml:space="preserve">  </w:t>
      </w:r>
      <w:r>
        <w:rPr>
          <w:sz w:val="28"/>
          <w:szCs w:val="28"/>
          <w:lang w:eastAsia="zh-CN"/>
        </w:rPr>
        <w:t>日</w:t>
      </w:r>
    </w:p>
    <w:p>
      <w:pPr>
        <w:jc w:val="both"/>
        <w:rPr>
          <w:rFonts w:ascii="华文仿宋" w:hAnsi="华文仿宋" w:eastAsia="华文仿宋"/>
          <w:kern w:val="0"/>
          <w:sz w:val="24"/>
        </w:rPr>
      </w:pPr>
    </w:p>
    <w:p>
      <w:pPr>
        <w:jc w:val="both"/>
        <w:rPr>
          <w:rFonts w:ascii="仿宋_GB2312" w:eastAsia="仿宋_GB2312"/>
        </w:rPr>
      </w:pPr>
    </w:p>
    <w:p>
      <w:pPr>
        <w:jc w:val="both"/>
      </w:pPr>
    </w:p>
    <w:sectPr>
      <w:headerReference r:id="rId3" w:type="default"/>
      <w:footerReference r:id="rId4"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QxMTQ0NmI2OWIzMmI4MmIwY2I5NTZjZTBjMDI1OGQifQ=="/>
  </w:docVars>
  <w:rsids>
    <w:rsidRoot w:val="00C106D0"/>
    <w:rsid w:val="001868FC"/>
    <w:rsid w:val="001A2122"/>
    <w:rsid w:val="001F0D97"/>
    <w:rsid w:val="001F75AF"/>
    <w:rsid w:val="002E02DA"/>
    <w:rsid w:val="002F6BB1"/>
    <w:rsid w:val="00315F72"/>
    <w:rsid w:val="00326F5B"/>
    <w:rsid w:val="00346234"/>
    <w:rsid w:val="00474367"/>
    <w:rsid w:val="004777E8"/>
    <w:rsid w:val="00503FBF"/>
    <w:rsid w:val="005768C3"/>
    <w:rsid w:val="00626DA4"/>
    <w:rsid w:val="00646D77"/>
    <w:rsid w:val="00657B50"/>
    <w:rsid w:val="0067723A"/>
    <w:rsid w:val="00685EC7"/>
    <w:rsid w:val="007963F3"/>
    <w:rsid w:val="008D616D"/>
    <w:rsid w:val="008F0B98"/>
    <w:rsid w:val="00932134"/>
    <w:rsid w:val="009B28B2"/>
    <w:rsid w:val="009B2F2B"/>
    <w:rsid w:val="009E6D0C"/>
    <w:rsid w:val="00A00AEC"/>
    <w:rsid w:val="00A6505F"/>
    <w:rsid w:val="00AA0D9C"/>
    <w:rsid w:val="00AA0FAA"/>
    <w:rsid w:val="00B60626"/>
    <w:rsid w:val="00BF00B4"/>
    <w:rsid w:val="00C106D0"/>
    <w:rsid w:val="00C7012B"/>
    <w:rsid w:val="00CA4C3E"/>
    <w:rsid w:val="00CB47D0"/>
    <w:rsid w:val="00D166D3"/>
    <w:rsid w:val="00D80E5C"/>
    <w:rsid w:val="00ED4D20"/>
    <w:rsid w:val="00FC6CF6"/>
    <w:rsid w:val="00FE2E8D"/>
    <w:rsid w:val="08386EF1"/>
    <w:rsid w:val="146756BA"/>
    <w:rsid w:val="1DB17672"/>
    <w:rsid w:val="287C1338"/>
    <w:rsid w:val="2C167EE4"/>
    <w:rsid w:val="38120693"/>
    <w:rsid w:val="40036B64"/>
    <w:rsid w:val="412515B2"/>
    <w:rsid w:val="4C3B7D1A"/>
    <w:rsid w:val="4FBE32C0"/>
    <w:rsid w:val="53215B91"/>
    <w:rsid w:val="5BAC6A7F"/>
    <w:rsid w:val="60C85CC2"/>
    <w:rsid w:val="62582EB5"/>
    <w:rsid w:val="677750A0"/>
    <w:rsid w:val="6E9E1E21"/>
    <w:rsid w:val="7CE9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pPr>
  </w:style>
  <w:style w:type="paragraph" w:styleId="3">
    <w:name w:val="Body Text"/>
    <w:basedOn w:val="1"/>
    <w:qFormat/>
    <w:uiPriority w:val="1"/>
    <w:pPr>
      <w:spacing w:before="53"/>
      <w:ind w:left="120"/>
    </w:pPr>
    <w:rPr>
      <w:rFonts w:ascii="仿宋_GB2312" w:hAnsi="仿宋_GB2312" w:eastAsia="仿宋_GB2312"/>
      <w:sz w:val="30"/>
      <w:szCs w:val="30"/>
    </w:rPr>
  </w:style>
  <w:style w:type="paragraph" w:styleId="4">
    <w:name w:val="Plain Text"/>
    <w:basedOn w:val="1"/>
    <w:link w:val="11"/>
    <w:qFormat/>
    <w:uiPriority w:val="0"/>
    <w:rPr>
      <w:rFonts w:ascii="宋体" w:hAnsi="Courier New"/>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qFormat/>
    <w:uiPriority w:val="0"/>
    <w:rPr>
      <w:rFonts w:ascii="Times New Roman" w:hAnsi="Times New Roman" w:eastAsia="宋体" w:cs="Times New Roman"/>
      <w:sz w:val="18"/>
      <w:szCs w:val="18"/>
    </w:rPr>
  </w:style>
  <w:style w:type="character" w:customStyle="1" w:styleId="11">
    <w:name w:val="纯文本 Char"/>
    <w:basedOn w:val="9"/>
    <w:link w:val="4"/>
    <w:qFormat/>
    <w:uiPriority w:val="0"/>
    <w:rPr>
      <w:rFonts w:ascii="宋体" w:hAnsi="Courier New" w:eastAsia="宋体" w:cs="Times New Roman"/>
      <w:szCs w:val="20"/>
    </w:rPr>
  </w:style>
  <w:style w:type="character" w:customStyle="1" w:styleId="12">
    <w:name w:val="页脚 Char"/>
    <w:basedOn w:val="9"/>
    <w:link w:val="5"/>
    <w:qFormat/>
    <w:uiPriority w:val="99"/>
    <w:rPr>
      <w:rFonts w:ascii="Times New Roman" w:hAnsi="Times New Roman" w:eastAsia="宋体" w:cs="Times New Roman"/>
      <w:sz w:val="18"/>
      <w:szCs w:val="18"/>
    </w:rPr>
  </w:style>
  <w:style w:type="paragraph" w:styleId="13">
    <w:name w:val="List Paragraph"/>
    <w:basedOn w:val="1"/>
    <w:qFormat/>
    <w:uiPriority w:val="34"/>
    <w:pPr>
      <w:spacing w:line="240" w:lineRule="auto"/>
      <w:ind w:firstLine="420"/>
    </w:pPr>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2380</Words>
  <Characters>2399</Characters>
  <Lines>7</Lines>
  <Paragraphs>2</Paragraphs>
  <TotalTime>24</TotalTime>
  <ScaleCrop>false</ScaleCrop>
  <LinksUpToDate>false</LinksUpToDate>
  <CharactersWithSpaces>4529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2015-10-26T02:39:00Z</dcterms:created>
  <dc:creator>xbzq-lb</dc:creator>
  <cp:lastModifiedBy>丁晶淼</cp:lastModifiedBy>
  <dcterms:modified xsi:type="dcterms:W3CDTF">2023-02-22T08:10:19Z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5667B2FBDA434CD89DA90F9699A7189F</vt:lpwstr>
  </property>
</Properties>
</file>