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36"/>
        </w:rPr>
      </w:pPr>
      <w:r>
        <w:rPr>
          <w:rFonts w:hint="eastAsia" w:ascii="黑体" w:eastAsia="黑体"/>
          <w:sz w:val="36"/>
        </w:rPr>
        <w:t>民生证券股份有限公司风险警示股票交易风险揭示书</w:t>
      </w:r>
    </w:p>
    <w:p>
      <w:pPr>
        <w:jc w:val="center"/>
        <w:rPr>
          <w:rFonts w:hint="eastAsia" w:ascii="黑体" w:eastAsia="黑体"/>
          <w:sz w:val="36"/>
        </w:rPr>
      </w:pPr>
      <w:r>
        <w:rPr>
          <w:rFonts w:hint="eastAsia" w:ascii="黑体" w:eastAsia="黑体"/>
          <w:sz w:val="36"/>
        </w:rPr>
        <w:t>（上海</w:t>
      </w:r>
      <w:r>
        <w:rPr>
          <w:rFonts w:hint="eastAsia" w:ascii="黑体" w:eastAsia="黑体"/>
          <w:sz w:val="36"/>
          <w:lang w:val="en-US" w:eastAsia="zh-CN"/>
        </w:rPr>
        <w:t>证券交易所</w:t>
      </w:r>
      <w:r>
        <w:rPr>
          <w:rFonts w:hint="eastAsia" w:ascii="黑体" w:eastAsia="黑体"/>
          <w:sz w:val="36"/>
        </w:rPr>
        <w:t>）</w:t>
      </w:r>
    </w:p>
    <w:p>
      <w:pPr>
        <w:spacing w:afterAutospacing="0" w:line="240" w:lineRule="auto"/>
        <w:jc w:val="center"/>
        <w:rPr>
          <w:rFonts w:ascii="方正小标宋简体" w:eastAsia="方正小标宋简体"/>
          <w:sz w:val="24"/>
        </w:rPr>
      </w:pPr>
      <w:r>
        <w:rPr>
          <w:rFonts w:hint="eastAsia" w:ascii="方正小标宋简体" w:eastAsia="方正小标宋简体"/>
          <w:sz w:val="36"/>
        </w:rPr>
        <w:t xml:space="preserve"> </w:t>
      </w:r>
      <w:r>
        <w:rPr>
          <w:rFonts w:hint="eastAsia" w:ascii="方正小标宋简体" w:eastAsia="方正小标宋简体"/>
          <w:sz w:val="24"/>
        </w:rPr>
        <w:t xml:space="preserve">                       </w:t>
      </w:r>
    </w:p>
    <w:p>
      <w:pPr>
        <w:pStyle w:val="8"/>
        <w:keepNext w:val="0"/>
        <w:keepLines w:val="0"/>
        <w:pageBreakBefore w:val="0"/>
        <w:spacing w:before="0" w:after="0" w:afterAutospacing="0" w:line="240" w:lineRule="auto"/>
        <w:jc w:val="both"/>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尊敬的投资者：</w:t>
      </w:r>
    </w:p>
    <w:p>
      <w:pPr>
        <w:pStyle w:val="5"/>
        <w:keepNext w:val="0"/>
        <w:keepLines w:val="0"/>
        <w:pageBreakBefore w:val="0"/>
        <w:spacing w:line="240" w:lineRule="auto"/>
        <w:ind w:firstLine="560" w:firstLineChars="200"/>
        <w:jc w:val="both"/>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为使您充分了解被上海证券交易所实施风险警示的股票（以下简称“风险警示股票”）的交易风险，民生证券股份有限公司特制定《风险警示股票交易风险揭示书》（以下简称“《风险揭示书》”），向您充分揭示参与风险警示股票交易面临的风险。</w:t>
      </w:r>
      <w:r>
        <w:rPr>
          <w:rFonts w:hint="eastAsia" w:ascii="仿宋_GB2312" w:hAnsi="Times New Roman" w:eastAsia="仿宋_GB2312"/>
          <w:kern w:val="0"/>
          <w:sz w:val="28"/>
        </w:rPr>
        <w:t>请您务必在</w:t>
      </w:r>
      <w:r>
        <w:rPr>
          <w:rFonts w:hint="eastAsia" w:ascii="仿宋_GB2312" w:hAnsi="Times New Roman" w:eastAsia="仿宋_GB2312"/>
          <w:kern w:val="0"/>
          <w:sz w:val="28"/>
          <w:lang w:val="en-US" w:eastAsia="zh-CN"/>
        </w:rPr>
        <w:t>参与</w:t>
      </w:r>
      <w:r>
        <w:rPr>
          <w:rFonts w:hint="eastAsia" w:ascii="仿宋_GB2312" w:hAnsi="Times New Roman" w:eastAsia="仿宋_GB2312"/>
          <w:kern w:val="0"/>
          <w:sz w:val="28"/>
        </w:rPr>
        <w:t>业务前仔细阅读风险揭示书的相关内容，</w:t>
      </w:r>
      <w:r>
        <w:rPr>
          <w:rFonts w:hint="eastAsia" w:ascii="仿宋_GB2312" w:hAnsi="仿宋_GB2312" w:eastAsia="仿宋_GB2312" w:cs="仿宋_GB2312"/>
          <w:bCs/>
          <w:sz w:val="28"/>
          <w:szCs w:val="28"/>
        </w:rPr>
        <w:t>充分知悉</w:t>
      </w:r>
      <w:r>
        <w:rPr>
          <w:rFonts w:hint="eastAsia" w:ascii="仿宋_GB2312" w:hAnsi="Times New Roman" w:eastAsia="仿宋_GB2312" w:cs="Times New Roman"/>
          <w:kern w:val="0"/>
          <w:sz w:val="28"/>
          <w:szCs w:val="28"/>
          <w:lang w:val="en-US" w:eastAsia="zh-CN"/>
        </w:rPr>
        <w:t>风险警示股票</w:t>
      </w:r>
      <w:r>
        <w:rPr>
          <w:rFonts w:hint="eastAsia" w:ascii="仿宋_GB2312" w:hAnsi="仿宋_GB2312" w:eastAsia="仿宋_GB2312" w:cs="仿宋_GB2312"/>
          <w:bCs/>
          <w:sz w:val="28"/>
          <w:szCs w:val="28"/>
        </w:rPr>
        <w:t>的各项风险</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kern w:val="2"/>
          <w:sz w:val="28"/>
          <w:szCs w:val="28"/>
          <w:lang w:val="en-US" w:eastAsia="zh-CN" w:bidi="ar-SA"/>
        </w:rPr>
        <w:t>具体内容如下：</w:t>
      </w:r>
    </w:p>
    <w:p>
      <w:pPr>
        <w:pStyle w:val="5"/>
        <w:keepNext w:val="0"/>
        <w:keepLines w:val="0"/>
        <w:pageBreakBefore w:val="0"/>
        <w:spacing w:line="240" w:lineRule="auto"/>
        <w:ind w:firstLine="560" w:firstLineChars="200"/>
        <w:jc w:val="both"/>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一、投资者在参与风险警示股票交易前，应充分了解风险警示股票交易规定和相关上市公司的基本面情况，并根据自身财务状况、实际需求及风险承受能力等，审慎考虑是否买入风险警示股票。</w:t>
      </w:r>
    </w:p>
    <w:p>
      <w:pPr>
        <w:pStyle w:val="5"/>
        <w:keepNext w:val="0"/>
        <w:keepLines w:val="0"/>
        <w:pageBreakBefore w:val="0"/>
        <w:spacing w:line="240" w:lineRule="auto"/>
        <w:ind w:firstLine="560" w:firstLineChars="200"/>
        <w:jc w:val="both"/>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二、投资者在参与风险警示股票交易前，应充分了解投资者买卖风险警示股票应当采用限价委托的方式。</w:t>
      </w:r>
    </w:p>
    <w:p>
      <w:pPr>
        <w:pStyle w:val="5"/>
        <w:keepNext w:val="0"/>
        <w:keepLines w:val="0"/>
        <w:pageBreakBefore w:val="0"/>
        <w:spacing w:line="240" w:lineRule="auto"/>
        <w:ind w:firstLine="560" w:firstLineChars="200"/>
        <w:jc w:val="both"/>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三、投资者在参与风险警示股票交易前，应充分了解风险警示股票价格的涨跌幅限制与其他股票的涨跌幅限制不同。</w:t>
      </w:r>
    </w:p>
    <w:p>
      <w:pPr>
        <w:pStyle w:val="5"/>
        <w:keepNext w:val="0"/>
        <w:keepLines w:val="0"/>
        <w:pageBreakBefore w:val="0"/>
        <w:spacing w:line="240" w:lineRule="auto"/>
        <w:ind w:firstLine="560" w:firstLineChars="200"/>
        <w:jc w:val="both"/>
        <w:rPr>
          <w:rFonts w:hint="eastAsia" w:ascii="仿宋_GB2312" w:hAnsi="仿宋_GB2312" w:eastAsia="仿宋_GB2312" w:cs="仿宋_GB2312"/>
          <w:kern w:val="0"/>
          <w:sz w:val="28"/>
        </w:rPr>
      </w:pPr>
      <w:r>
        <w:rPr>
          <w:rFonts w:hint="eastAsia" w:ascii="仿宋_GB2312" w:hAnsi="仿宋_GB2312" w:eastAsia="仿宋_GB2312" w:cs="仿宋_GB2312"/>
          <w:kern w:val="0"/>
          <w:sz w:val="28"/>
          <w:lang w:val="en-US" w:eastAsia="zh-CN"/>
        </w:rPr>
        <w:t>四</w:t>
      </w:r>
      <w:r>
        <w:rPr>
          <w:rFonts w:hint="eastAsia" w:ascii="仿宋_GB2312" w:hAnsi="仿宋_GB2312" w:eastAsia="仿宋_GB2312" w:cs="仿宋_GB2312"/>
          <w:kern w:val="0"/>
          <w:sz w:val="28"/>
        </w:rPr>
        <w:t>、投资者当日</w:t>
      </w:r>
      <w:r>
        <w:rPr>
          <w:rFonts w:hint="eastAsia" w:ascii="仿宋_GB2312" w:hAnsi="仿宋_GB2312" w:eastAsia="仿宋_GB2312" w:cs="仿宋_GB2312"/>
          <w:color w:val="000000"/>
          <w:sz w:val="28"/>
        </w:rPr>
        <w:t>通过竞价交易和大宗交易</w:t>
      </w:r>
      <w:r>
        <w:rPr>
          <w:rFonts w:hint="eastAsia" w:ascii="仿宋_GB2312" w:hAnsi="仿宋_GB2312" w:eastAsia="仿宋_GB2312" w:cs="仿宋_GB2312"/>
          <w:kern w:val="0"/>
          <w:sz w:val="28"/>
        </w:rPr>
        <w:t>累计买入的单只风险警示股票，数量不得超过50万股。</w:t>
      </w:r>
      <w:r>
        <w:rPr>
          <w:rFonts w:hint="eastAsia" w:ascii="仿宋_GB2312" w:hAnsi="仿宋_GB2312" w:eastAsia="仿宋_GB2312" w:cs="仿宋_GB2312"/>
          <w:color w:val="000000"/>
          <w:sz w:val="28"/>
        </w:rPr>
        <w:t>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上市公司回购股份、5%以上股东根据已披露的增持计划增持股份可不受前述50万股买入限制。</w:t>
      </w:r>
    </w:p>
    <w:p>
      <w:pPr>
        <w:pStyle w:val="5"/>
        <w:keepNext w:val="0"/>
        <w:keepLines w:val="0"/>
        <w:pageBreakBefore w:val="0"/>
        <w:spacing w:line="240" w:lineRule="auto"/>
        <w:ind w:firstLine="560" w:firstLineChars="200"/>
        <w:jc w:val="both"/>
        <w:rPr>
          <w:rFonts w:hint="eastAsia" w:ascii="仿宋_GB2312" w:hAnsi="仿宋_GB2312" w:eastAsia="仿宋_GB2312" w:cs="仿宋_GB2312"/>
          <w:kern w:val="0"/>
          <w:sz w:val="28"/>
        </w:rPr>
      </w:pPr>
      <w:r>
        <w:rPr>
          <w:rFonts w:hint="eastAsia" w:ascii="仿宋_GB2312" w:hAnsi="仿宋_GB2312" w:eastAsia="仿宋_GB2312" w:cs="仿宋_GB2312"/>
          <w:kern w:val="0"/>
          <w:sz w:val="28"/>
          <w:lang w:val="en-US" w:eastAsia="zh-CN"/>
        </w:rPr>
        <w:t>五</w:t>
      </w:r>
      <w:r>
        <w:rPr>
          <w:rFonts w:hint="eastAsia" w:ascii="仿宋_GB2312" w:hAnsi="仿宋_GB2312" w:eastAsia="仿宋_GB2312" w:cs="仿宋_GB2312"/>
          <w:kern w:val="0"/>
          <w:sz w:val="28"/>
        </w:rPr>
        <w:t>、投资者应当特别关注上市公司发布的风险提示性公告，及时从符合中国证监会规定条件的媒体等渠道获取相关信息。</w:t>
      </w:r>
    </w:p>
    <w:p>
      <w:pPr>
        <w:pStyle w:val="5"/>
        <w:keepNext w:val="0"/>
        <w:keepLines w:val="0"/>
        <w:pageBreakBefore w:val="0"/>
        <w:spacing w:line="240" w:lineRule="auto"/>
        <w:ind w:firstLine="560" w:firstLineChars="200"/>
        <w:jc w:val="both"/>
        <w:rPr>
          <w:rFonts w:hint="eastAsia" w:ascii="仿宋_GB2312" w:hAnsi="仿宋_GB2312" w:eastAsia="仿宋_GB2312" w:cs="仿宋_GB2312"/>
          <w:kern w:val="0"/>
          <w:sz w:val="28"/>
        </w:rPr>
      </w:pPr>
      <w:r>
        <w:rPr>
          <w:rFonts w:hint="eastAsia" w:ascii="仿宋_GB2312" w:hAnsi="仿宋_GB2312" w:eastAsia="仿宋_GB2312" w:cs="仿宋_GB2312"/>
          <w:kern w:val="0"/>
          <w:sz w:val="28"/>
          <w:lang w:val="en-US" w:eastAsia="zh-CN"/>
        </w:rPr>
        <w:t>六</w:t>
      </w:r>
      <w:r>
        <w:rPr>
          <w:rFonts w:hint="eastAsia" w:ascii="仿宋_GB2312" w:hAnsi="仿宋_GB2312" w:eastAsia="仿宋_GB2312" w:cs="仿宋_GB2312"/>
          <w:kern w:val="0"/>
          <w:sz w:val="28"/>
        </w:rPr>
        <w:t>、风险警示股票相关法律、行政法规、部门规章、规范性文件（以下简称法律法规）、证券交易所和登记结算机构业务规则可能根据市场情况进行制定、废止和修改，投资者应当及时予以关注和了解。</w:t>
      </w:r>
    </w:p>
    <w:p>
      <w:pPr>
        <w:pStyle w:val="5"/>
        <w:keepNext w:val="0"/>
        <w:keepLines w:val="0"/>
        <w:pageBreakBefore w:val="0"/>
        <w:spacing w:line="240" w:lineRule="auto"/>
        <w:ind w:firstLine="560" w:firstLineChars="200"/>
        <w:jc w:val="both"/>
        <w:rPr>
          <w:rFonts w:hint="eastAsia" w:ascii="仿宋_GB2312" w:hAnsi="仿宋_GB2312" w:eastAsia="仿宋_GB2312" w:cs="仿宋_GB2312"/>
          <w:kern w:val="0"/>
          <w:sz w:val="28"/>
        </w:rPr>
      </w:pPr>
    </w:p>
    <w:p>
      <w:pPr>
        <w:pStyle w:val="5"/>
        <w:keepNext w:val="0"/>
        <w:keepLines w:val="0"/>
        <w:pageBreakBefore w:val="0"/>
        <w:spacing w:line="240" w:lineRule="auto"/>
        <w:ind w:firstLine="562" w:firstLineChars="200"/>
        <w:jc w:val="both"/>
        <w:rPr>
          <w:rFonts w:hint="eastAsia" w:ascii="仿宋_GB2312" w:hAnsi="仿宋_GB2312" w:eastAsia="仿宋_GB2312" w:cs="仿宋_GB2312"/>
          <w:b/>
          <w:sz w:val="28"/>
        </w:rPr>
      </w:pPr>
      <w:r>
        <w:rPr>
          <w:rFonts w:hint="eastAsia" w:ascii="仿宋_GB2312" w:hAnsi="仿宋_GB2312" w:eastAsia="仿宋_GB2312" w:cs="仿宋_GB2312"/>
          <w:b/>
          <w:sz w:val="28"/>
        </w:rPr>
        <w:t>本</w:t>
      </w:r>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rPr>
        <w:t>风险揭示书</w:t>
      </w:r>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rPr>
        <w:t>的揭示事项仅为列举事项，未能详尽载明该项业务的所有风险。投资者</w:t>
      </w:r>
      <w:bookmarkStart w:id="0" w:name="_GoBack"/>
      <w:bookmarkEnd w:id="0"/>
      <w:r>
        <w:rPr>
          <w:rFonts w:hint="eastAsia" w:ascii="仿宋_GB2312" w:hAnsi="仿宋_GB2312" w:eastAsia="仿宋_GB2312" w:cs="仿宋_GB2312"/>
          <w:b/>
          <w:sz w:val="28"/>
        </w:rPr>
        <w:t>在参与该项业务前，应当认真阅读信息披露公告、业务协议、产品说明书等法律文件，熟悉该项业务相关法律法规、交易所相关业务规则等，对其他可能存在的风险因素也应当有所了解和掌握，并确信自己已经做好足够的风险控制和财务安排，避免因参与该项业务遭受难以承受的风险。</w:t>
      </w:r>
    </w:p>
    <w:p>
      <w:pPr>
        <w:pStyle w:val="5"/>
        <w:keepNext w:val="0"/>
        <w:keepLines w:val="0"/>
        <w:pageBreakBefore w:val="0"/>
        <w:spacing w:line="240" w:lineRule="auto"/>
        <w:ind w:firstLine="562" w:firstLineChars="200"/>
        <w:jc w:val="both"/>
        <w:rPr>
          <w:rFonts w:hint="eastAsia" w:ascii="仿宋_GB2312" w:hAnsi="仿宋_GB2312" w:eastAsia="仿宋_GB2312" w:cs="仿宋_GB2312"/>
          <w:b/>
          <w:sz w:val="28"/>
        </w:rPr>
      </w:pPr>
      <w:r>
        <w:rPr>
          <w:rFonts w:hint="eastAsia" w:ascii="仿宋_GB2312" w:hAnsi="仿宋_GB2312" w:eastAsia="仿宋_GB2312" w:cs="仿宋_GB2312"/>
          <w:b/>
          <w:sz w:val="28"/>
        </w:rPr>
        <w:t>特别提示：您在本《风险揭示书》上签字，</w:t>
      </w:r>
      <w:r>
        <w:rPr>
          <w:rFonts w:hint="eastAsia" w:ascii="仿宋_GB2312" w:hAnsi="Times New Roman" w:eastAsia="仿宋_GB2312"/>
          <w:b/>
          <w:bCs/>
          <w:kern w:val="0"/>
          <w:sz w:val="28"/>
          <w:szCs w:val="28"/>
        </w:rPr>
        <w:t>即表明您确认已知晓并理解风险揭示的全部内容，</w:t>
      </w:r>
      <w:r>
        <w:rPr>
          <w:rFonts w:hint="eastAsia" w:ascii="仿宋_GB2312" w:hAnsi="仿宋_GB2312" w:eastAsia="仿宋_GB2312" w:cs="仿宋_GB2312"/>
          <w:b/>
          <w:sz w:val="28"/>
        </w:rPr>
        <w:t>愿意承担参与风险警示股票交易的风险和损失。</w:t>
      </w:r>
    </w:p>
    <w:p>
      <w:pPr>
        <w:pStyle w:val="5"/>
        <w:keepNext w:val="0"/>
        <w:keepLines w:val="0"/>
        <w:pageBreakBefore w:val="0"/>
        <w:spacing w:line="240" w:lineRule="auto"/>
        <w:ind w:firstLine="562" w:firstLineChars="200"/>
        <w:rPr>
          <w:rFonts w:hint="eastAsia" w:ascii="仿宋_GB2312" w:hAnsi="仿宋_GB2312" w:eastAsia="仿宋_GB2312" w:cs="仿宋_GB2312"/>
          <w:b/>
          <w:sz w:val="28"/>
        </w:rPr>
      </w:pPr>
    </w:p>
    <w:p>
      <w:pPr>
        <w:pStyle w:val="4"/>
        <w:spacing w:before="236" w:line="240" w:lineRule="auto"/>
        <w:ind w:firstLine="3640" w:firstLineChars="1300"/>
        <w:rPr>
          <w:sz w:val="28"/>
        </w:rPr>
      </w:pPr>
      <w:r>
        <w:rPr>
          <w:rFonts w:hint="eastAsia"/>
          <w:sz w:val="28"/>
        </w:rPr>
        <w:t xml:space="preserve"> </w:t>
      </w:r>
      <w:r>
        <w:rPr>
          <w:rFonts w:hint="eastAsia"/>
          <w:sz w:val="28"/>
          <w:lang w:val="en-US" w:eastAsia="zh-CN"/>
        </w:rPr>
        <w:t xml:space="preserve"> </w:t>
      </w:r>
      <w:r>
        <w:rPr>
          <w:rFonts w:hint="eastAsia"/>
          <w:sz w:val="28"/>
        </w:rPr>
        <w:t xml:space="preserve"> </w:t>
      </w:r>
      <w:r>
        <w:rPr>
          <w:rFonts w:hint="eastAsia"/>
          <w:sz w:val="28"/>
          <w:lang w:val="en-US" w:eastAsia="zh-CN"/>
        </w:rPr>
        <w:t xml:space="preserve"> </w:t>
      </w:r>
      <w:r>
        <w:rPr>
          <w:rFonts w:hint="eastAsia"/>
          <w:sz w:val="28"/>
        </w:rPr>
        <w:t>投资者签章</w:t>
      </w:r>
      <w:r>
        <w:rPr>
          <w:sz w:val="28"/>
        </w:rPr>
        <w:t>：</w:t>
      </w:r>
    </w:p>
    <w:p>
      <w:pPr>
        <w:pStyle w:val="4"/>
        <w:spacing w:before="236" w:line="240" w:lineRule="auto"/>
        <w:ind w:right="175" w:firstLine="4200" w:firstLineChars="1500"/>
        <w:rPr>
          <w:rFonts w:ascii="华文仿宋" w:hAnsi="华文仿宋" w:eastAsia="华文仿宋"/>
          <w:kern w:val="0"/>
          <w:sz w:val="24"/>
        </w:rPr>
      </w:pPr>
      <w:r>
        <w:rPr>
          <w:sz w:val="28"/>
        </w:rPr>
        <w:t>签署日期：</w:t>
      </w:r>
      <w:r>
        <w:rPr>
          <w:rFonts w:hint="eastAsia"/>
          <w:sz w:val="28"/>
        </w:rPr>
        <w:t xml:space="preserve">   </w:t>
      </w:r>
      <w:r>
        <w:rPr>
          <w:sz w:val="28"/>
        </w:rPr>
        <w:t>年</w:t>
      </w:r>
      <w:r>
        <w:rPr>
          <w:rFonts w:hint="eastAsia"/>
          <w:sz w:val="28"/>
        </w:rPr>
        <w:t xml:space="preserve">  </w:t>
      </w:r>
      <w:r>
        <w:rPr>
          <w:sz w:val="28"/>
        </w:rPr>
        <w:t>月</w:t>
      </w:r>
      <w:r>
        <w:rPr>
          <w:rFonts w:hint="eastAsia"/>
          <w:sz w:val="28"/>
        </w:rPr>
        <w:t xml:space="preserve">  </w:t>
      </w:r>
      <w:r>
        <w:rPr>
          <w:sz w:val="28"/>
        </w:rPr>
        <w:t>日</w:t>
      </w:r>
    </w:p>
    <w:sectPr>
      <w:pgSz w:w="11905" w:h="16837" w:orient="landscape"/>
      <w:pgMar w:top="1440" w:right="1417" w:bottom="1440" w:left="1417"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MTQ0NmI2OWIzMmI4MmIwY2I5NTZjZTBjMDI1OGQifQ=="/>
  </w:docVars>
  <w:rsids>
    <w:rsidRoot w:val="00000000"/>
    <w:rsid w:val="2A49680F"/>
    <w:rsid w:val="521F22D3"/>
    <w:rsid w:val="734E1A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kern w:val="2"/>
      <w:sz w:val="21"/>
    </w:rPr>
  </w:style>
  <w:style w:type="paragraph" w:styleId="3">
    <w:name w:val="heading 1"/>
    <w:next w:val="1"/>
    <w:uiPriority w:val="0"/>
    <w:pPr>
      <w:keepNext/>
      <w:keepLines/>
      <w:spacing w:before="348" w:after="210"/>
    </w:pPr>
    <w:rPr>
      <w:rFonts w:asciiTheme="minorHAnsi" w:hAnsiTheme="minorHAnsi" w:eastAsiaTheme="minorEastAsia" w:cstheme="minorBidi"/>
      <w:b/>
      <w:kern w:val="2"/>
      <w:sz w:val="34"/>
    </w:rPr>
  </w:style>
  <w:style w:type="character" w:default="1" w:styleId="11">
    <w:name w:val="Default Paragraph Fon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4">
    <w:name w:val="Body Text"/>
    <w:basedOn w:val="1"/>
    <w:qFormat/>
    <w:uiPriority w:val="0"/>
    <w:pPr>
      <w:spacing w:before="53"/>
      <w:ind w:left="120"/>
    </w:pPr>
    <w:rPr>
      <w:rFonts w:ascii="仿宋_GB2312" w:hAnsi="仿宋_GB2312" w:eastAsia="仿宋_GB2312"/>
      <w:sz w:val="30"/>
    </w:rPr>
  </w:style>
  <w:style w:type="paragraph" w:styleId="5">
    <w:name w:val="Plain Text"/>
    <w:basedOn w:val="1"/>
    <w:qFormat/>
    <w:uiPriority w:val="0"/>
    <w:rPr>
      <w:rFonts w:ascii="宋体" w:hAnsi="Courier New"/>
    </w:rPr>
  </w:style>
  <w:style w:type="paragraph" w:styleId="6">
    <w:name w:val="footer"/>
    <w:basedOn w:val="1"/>
    <w:qFormat/>
    <w:uiPriority w:val="0"/>
    <w:pPr>
      <w:jc w:val="left"/>
    </w:pPr>
    <w:rPr>
      <w:sz w:val="18"/>
    </w:rPr>
  </w:style>
  <w:style w:type="paragraph" w:styleId="7">
    <w:name w:val="header"/>
    <w:basedOn w:val="1"/>
    <w:qFormat/>
    <w:uiPriority w:val="0"/>
    <w:pPr>
      <w:pBdr>
        <w:bottom w:val="single" w:color="000000" w:sz="6" w:space="1"/>
      </w:pBdr>
      <w:jc w:val="center"/>
    </w:pPr>
    <w:rPr>
      <w:sz w:val="18"/>
    </w:rPr>
  </w:style>
  <w:style w:type="paragraph" w:styleId="8">
    <w:name w:val="Normal (Web)"/>
    <w:basedOn w:val="1"/>
    <w:qFormat/>
    <w:uiPriority w:val="0"/>
    <w:pPr>
      <w:widowControl/>
      <w:spacing w:before="100" w:after="100" w:afterAutospacing="1"/>
      <w:jc w:val="left"/>
    </w:pPr>
    <w:rPr>
      <w:rFonts w:ascii="宋体" w:hAnsi="宋体" w:cs="宋体"/>
      <w:kern w:val="0"/>
      <w:sz w:val="24"/>
    </w:rPr>
  </w:style>
  <w:style w:type="table" w:styleId="10">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character" w:styleId="12">
    <w:name w:val="Hyperlink"/>
    <w:uiPriority w:val="0"/>
    <w:rPr>
      <w:color w:val="0563C1"/>
      <w:u w:val="single"/>
    </w:rPr>
  </w:style>
  <w:style w:type="character" w:customStyle="1" w:styleId="13">
    <w:name w:val="纯文本 Char"/>
    <w:basedOn w:val="11"/>
    <w:uiPriority w:val="0"/>
    <w:rPr>
      <w:rFonts w:ascii="宋体" w:hAnsi="Courier New" w:eastAsia="宋体" w:cs="Times New Roman"/>
    </w:rPr>
  </w:style>
  <w:style w:type="character" w:customStyle="1" w:styleId="14">
    <w:name w:val="页脚 Char"/>
    <w:basedOn w:val="11"/>
    <w:qFormat/>
    <w:uiPriority w:val="0"/>
    <w:rPr>
      <w:rFonts w:ascii="Times New Roman" w:hAnsi="Times New Roman" w:eastAsia="宋体" w:cs="Times New Roman"/>
      <w:sz w:val="18"/>
    </w:rPr>
  </w:style>
  <w:style w:type="paragraph" w:customStyle="1" w:styleId="15">
    <w:name w:val="font14"/>
    <w:basedOn w:val="1"/>
    <w:uiPriority w:val="0"/>
    <w:pPr>
      <w:widowControl/>
      <w:spacing w:before="100" w:after="100" w:afterAutospacing="1"/>
      <w:jc w:val="left"/>
    </w:pPr>
    <w:rPr>
      <w:rFonts w:ascii="宋体" w:hAnsi="宋体" w:cs="宋体"/>
      <w:kern w:val="0"/>
    </w:rPr>
  </w:style>
  <w:style w:type="character" w:customStyle="1" w:styleId="16">
    <w:name w:val="页眉 Char"/>
    <w:basedOn w:val="11"/>
    <w:qFormat/>
    <w:uiPriority w:val="0"/>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946</Words>
  <Characters>950</Characters>
  <TotalTime>0</TotalTime>
  <ScaleCrop>false</ScaleCrop>
  <LinksUpToDate>false</LinksUpToDate>
  <CharactersWithSpaces>985</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1970-01-01T00:00:00Z</dcterms:created>
  <dc:creator>DingTalk</dc:creator>
  <dc:description>DingTalk Document</dc:description>
  <cp:lastModifiedBy>丁晶淼</cp:lastModifiedBy>
  <dcterms:modified xsi:type="dcterms:W3CDTF">2023-02-20T05:56:40Z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50BD0F01B9394E08B03D6CC49BC54ED3</vt:lpwstr>
  </property>
</Properties>
</file>