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黑体" w:eastAsia="黑体"/>
          <w:sz w:val="36"/>
          <w:szCs w:val="36"/>
          <w:lang w:val="en-US" w:eastAsia="zh-CN"/>
        </w:rPr>
      </w:pPr>
      <w:r>
        <w:rPr>
          <w:rFonts w:hint="eastAsia" w:ascii="黑体" w:eastAsia="黑体"/>
          <w:sz w:val="36"/>
          <w:szCs w:val="36"/>
          <w:lang w:val="en-US" w:eastAsia="zh-CN"/>
        </w:rPr>
        <w:t>民生证券股份有限公司</w:t>
      </w:r>
    </w:p>
    <w:p>
      <w:pPr>
        <w:spacing w:line="240" w:lineRule="auto"/>
        <w:ind w:firstLine="0" w:firstLineChars="0"/>
        <w:jc w:val="center"/>
        <w:rPr>
          <w:rFonts w:ascii="方正小标宋简体" w:eastAsia="方正小标宋简体"/>
          <w:sz w:val="28"/>
          <w:szCs w:val="28"/>
        </w:rPr>
      </w:pPr>
      <w:r>
        <w:rPr>
          <w:rFonts w:hint="eastAsia" w:ascii="黑体" w:eastAsia="黑体"/>
          <w:sz w:val="36"/>
          <w:szCs w:val="36"/>
        </w:rPr>
        <w:t>退市整理股票交易风险揭示书</w:t>
      </w:r>
      <w:r>
        <w:rPr>
          <w:rFonts w:hint="eastAsia" w:ascii="黑体" w:eastAsia="黑体"/>
          <w:sz w:val="36"/>
          <w:szCs w:val="36"/>
          <w:lang w:eastAsia="zh-CN"/>
        </w:rPr>
        <w:t>（</w:t>
      </w:r>
      <w:r>
        <w:rPr>
          <w:rFonts w:hint="eastAsia" w:ascii="黑体" w:eastAsia="黑体"/>
          <w:sz w:val="36"/>
          <w:szCs w:val="36"/>
        </w:rPr>
        <w:t>上海</w:t>
      </w:r>
      <w:r>
        <w:rPr>
          <w:rFonts w:hint="eastAsia" w:ascii="黑体" w:eastAsia="黑体"/>
          <w:sz w:val="36"/>
          <w:szCs w:val="36"/>
          <w:lang w:eastAsia="zh-CN"/>
        </w:rPr>
        <w:t>）</w:t>
      </w:r>
    </w:p>
    <w:p>
      <w:pPr>
        <w:spacing w:line="240" w:lineRule="auto"/>
        <w:ind w:firstLine="0" w:firstLineChars="0"/>
        <w:jc w:val="center"/>
        <w:rPr>
          <w:rFonts w:hint="eastAsia" w:ascii="仿宋_GB2312" w:eastAsia="仿宋_GB2312"/>
          <w:sz w:val="28"/>
          <w:szCs w:val="28"/>
        </w:rPr>
      </w:pPr>
      <w:r>
        <w:rPr>
          <w:rFonts w:hint="eastAsia" w:ascii="方正小标宋简体" w:eastAsia="方正小标宋简体"/>
          <w:sz w:val="24"/>
          <w:szCs w:val="24"/>
        </w:rPr>
        <w:t xml:space="preserve">                           </w:t>
      </w:r>
    </w:p>
    <w:p>
      <w:pPr>
        <w:pStyle w:val="4"/>
        <w:spacing w:line="240" w:lineRule="auto"/>
        <w:ind w:firstLine="0" w:firstLineChars="0"/>
        <w:rPr>
          <w:rFonts w:ascii="仿宋_GB2312" w:eastAsia="仿宋_GB2312"/>
          <w:sz w:val="28"/>
          <w:szCs w:val="28"/>
        </w:rPr>
      </w:pPr>
      <w:r>
        <w:rPr>
          <w:rFonts w:hint="eastAsia" w:ascii="仿宋_GB2312" w:eastAsia="仿宋_GB2312"/>
          <w:sz w:val="28"/>
          <w:szCs w:val="28"/>
        </w:rPr>
        <w:t>尊敬的投资者：</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ascii="仿宋_GB2312" w:hAnsi="Times New Roman" w:eastAsia="仿宋_GB2312"/>
          <w:kern w:val="0"/>
          <w:sz w:val="28"/>
          <w:szCs w:val="28"/>
        </w:rPr>
        <w:t>为使</w:t>
      </w:r>
      <w:r>
        <w:rPr>
          <w:rFonts w:hint="eastAsia" w:ascii="仿宋_GB2312" w:hAnsi="Times New Roman" w:eastAsia="仿宋_GB2312"/>
          <w:kern w:val="0"/>
          <w:sz w:val="28"/>
          <w:szCs w:val="28"/>
          <w:lang w:val="en-US" w:eastAsia="zh-CN"/>
        </w:rPr>
        <w:t>您</w:t>
      </w:r>
      <w:r>
        <w:rPr>
          <w:rFonts w:ascii="仿宋_GB2312" w:hAnsi="Times New Roman" w:eastAsia="仿宋_GB2312"/>
          <w:kern w:val="0"/>
          <w:sz w:val="28"/>
          <w:szCs w:val="28"/>
        </w:rPr>
        <w:t>充分了解被</w:t>
      </w:r>
      <w:r>
        <w:rPr>
          <w:rFonts w:hint="eastAsia" w:ascii="仿宋_GB2312" w:hAnsi="Times New Roman" w:eastAsia="仿宋_GB2312"/>
          <w:kern w:val="0"/>
          <w:sz w:val="28"/>
          <w:szCs w:val="28"/>
          <w:lang w:val="en-US" w:eastAsia="zh-CN"/>
        </w:rPr>
        <w:t>上海证券交易所</w:t>
      </w:r>
      <w:r>
        <w:rPr>
          <w:rFonts w:ascii="仿宋_GB2312" w:hAnsi="Times New Roman" w:eastAsia="仿宋_GB2312"/>
          <w:kern w:val="0"/>
          <w:sz w:val="28"/>
          <w:szCs w:val="28"/>
        </w:rPr>
        <w:t>作出终止上市决定但处于退</w:t>
      </w:r>
      <w:bookmarkStart w:id="0" w:name="_GoBack"/>
      <w:bookmarkEnd w:id="0"/>
      <w:r>
        <w:rPr>
          <w:rFonts w:ascii="仿宋_GB2312" w:hAnsi="Times New Roman" w:eastAsia="仿宋_GB2312"/>
          <w:kern w:val="0"/>
          <w:sz w:val="28"/>
          <w:szCs w:val="28"/>
        </w:rPr>
        <w:t>市整理期尚未摘牌的股票（以下简称</w:t>
      </w:r>
      <w:r>
        <w:rPr>
          <w:rFonts w:hint="eastAsia" w:ascii="仿宋_GB2312" w:hAnsi="Times New Roman" w:eastAsia="仿宋_GB2312"/>
          <w:kern w:val="0"/>
          <w:sz w:val="28"/>
          <w:szCs w:val="28"/>
        </w:rPr>
        <w:t>“</w:t>
      </w:r>
      <w:r>
        <w:rPr>
          <w:rFonts w:ascii="仿宋_GB2312" w:hAnsi="Times New Roman" w:eastAsia="仿宋_GB2312"/>
          <w:kern w:val="0"/>
          <w:sz w:val="28"/>
          <w:szCs w:val="28"/>
        </w:rPr>
        <w:t>退市整理股票</w:t>
      </w:r>
      <w:r>
        <w:rPr>
          <w:rFonts w:hint="eastAsia" w:ascii="仿宋_GB2312" w:hAnsi="Times New Roman" w:eastAsia="仿宋_GB2312"/>
          <w:kern w:val="0"/>
          <w:sz w:val="28"/>
          <w:szCs w:val="28"/>
        </w:rPr>
        <w:t>”</w:t>
      </w:r>
      <w:r>
        <w:rPr>
          <w:rFonts w:ascii="仿宋_GB2312" w:hAnsi="Times New Roman" w:eastAsia="仿宋_GB2312"/>
          <w:kern w:val="0"/>
          <w:sz w:val="28"/>
          <w:szCs w:val="28"/>
        </w:rPr>
        <w:t>）的交易风险，</w:t>
      </w:r>
      <w:r>
        <w:rPr>
          <w:rFonts w:hint="eastAsia" w:ascii="仿宋_GB2312" w:hAnsi="Times New Roman" w:eastAsia="仿宋_GB2312"/>
          <w:kern w:val="0"/>
          <w:sz w:val="28"/>
          <w:szCs w:val="28"/>
          <w:lang w:val="en-US" w:eastAsia="zh-CN"/>
        </w:rPr>
        <w:t>民生证券股份有限</w:t>
      </w:r>
      <w:r>
        <w:rPr>
          <w:rFonts w:ascii="仿宋_GB2312" w:hAnsi="Times New Roman" w:eastAsia="仿宋_GB2312"/>
          <w:kern w:val="0"/>
          <w:sz w:val="28"/>
          <w:szCs w:val="28"/>
        </w:rPr>
        <w:t>公司</w:t>
      </w:r>
      <w:r>
        <w:rPr>
          <w:rFonts w:hint="eastAsia" w:ascii="仿宋_GB2312" w:hAnsi="Times New Roman" w:eastAsia="仿宋_GB2312"/>
          <w:kern w:val="0"/>
          <w:sz w:val="28"/>
          <w:szCs w:val="28"/>
          <w:lang w:val="en-US" w:eastAsia="zh-CN"/>
        </w:rPr>
        <w:t>特</w:t>
      </w:r>
      <w:r>
        <w:rPr>
          <w:rFonts w:ascii="仿宋_GB2312" w:hAnsi="Times New Roman" w:eastAsia="仿宋_GB2312"/>
          <w:kern w:val="0"/>
          <w:sz w:val="28"/>
          <w:szCs w:val="28"/>
        </w:rPr>
        <w:t>制定《退市整理股票交易风险揭示书》（以下简称</w:t>
      </w:r>
      <w:r>
        <w:rPr>
          <w:rFonts w:hint="eastAsia" w:ascii="仿宋_GB2312" w:hAnsi="Times New Roman" w:eastAsia="仿宋_GB2312"/>
          <w:kern w:val="0"/>
          <w:sz w:val="28"/>
          <w:szCs w:val="28"/>
        </w:rPr>
        <w:t>“</w:t>
      </w:r>
      <w:r>
        <w:rPr>
          <w:rFonts w:ascii="仿宋_GB2312" w:hAnsi="Times New Roman" w:eastAsia="仿宋_GB2312"/>
          <w:kern w:val="0"/>
          <w:sz w:val="28"/>
          <w:szCs w:val="28"/>
        </w:rPr>
        <w:t>《风险揭示书》</w:t>
      </w:r>
      <w:r>
        <w:rPr>
          <w:rFonts w:hint="eastAsia" w:ascii="仿宋_GB2312" w:hAnsi="Times New Roman" w:eastAsia="仿宋_GB2312"/>
          <w:kern w:val="0"/>
          <w:sz w:val="28"/>
          <w:szCs w:val="28"/>
        </w:rPr>
        <w:t>”</w:t>
      </w:r>
      <w:r>
        <w:rPr>
          <w:rFonts w:ascii="仿宋_GB2312" w:hAnsi="Times New Roman" w:eastAsia="仿宋_GB2312"/>
          <w:kern w:val="0"/>
          <w:sz w:val="28"/>
          <w:szCs w:val="28"/>
        </w:rPr>
        <w:t>），向</w:t>
      </w:r>
      <w:r>
        <w:rPr>
          <w:rFonts w:hint="eastAsia" w:ascii="仿宋_GB2312" w:hAnsi="Times New Roman" w:eastAsia="仿宋_GB2312"/>
          <w:kern w:val="0"/>
          <w:sz w:val="28"/>
          <w:szCs w:val="28"/>
          <w:lang w:val="en-US" w:eastAsia="zh-CN"/>
        </w:rPr>
        <w:t>您</w:t>
      </w:r>
      <w:r>
        <w:rPr>
          <w:rFonts w:ascii="仿宋_GB2312" w:hAnsi="Times New Roman" w:eastAsia="仿宋_GB2312"/>
          <w:kern w:val="0"/>
          <w:sz w:val="28"/>
          <w:szCs w:val="28"/>
        </w:rPr>
        <w:t>充分揭示参与拟终止上市公司股票退市整理期交易面临的风险。</w:t>
      </w:r>
      <w:r>
        <w:rPr>
          <w:rFonts w:hint="eastAsia" w:ascii="仿宋_GB2312" w:hAnsi="Times New Roman" w:eastAsia="仿宋_GB2312"/>
          <w:kern w:val="0"/>
          <w:sz w:val="28"/>
          <w:szCs w:val="28"/>
          <w:lang w:val="en-US" w:eastAsia="zh-CN"/>
        </w:rPr>
        <w:t>请您务必在申请开通业务前仔细阅读风险揭示书的相关内容，认真了解</w:t>
      </w:r>
      <w:r>
        <w:rPr>
          <w:rFonts w:ascii="仿宋_GB2312" w:hAnsi="Times New Roman" w:eastAsia="仿宋_GB2312"/>
          <w:kern w:val="0"/>
          <w:sz w:val="28"/>
          <w:szCs w:val="28"/>
        </w:rPr>
        <w:t>退市整理股票</w:t>
      </w:r>
      <w:r>
        <w:rPr>
          <w:rFonts w:hint="eastAsia" w:ascii="仿宋_GB2312" w:hAnsi="Times New Roman" w:eastAsia="仿宋_GB2312"/>
          <w:kern w:val="0"/>
          <w:sz w:val="28"/>
          <w:szCs w:val="28"/>
          <w:lang w:val="en-US" w:eastAsia="zh-CN"/>
        </w:rPr>
        <w:t>相关风险。</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kern w:val="0"/>
          <w:sz w:val="28"/>
          <w:szCs w:val="28"/>
        </w:rPr>
      </w:pPr>
      <w:r>
        <w:rPr>
          <w:rFonts w:hint="eastAsia" w:ascii="仿宋_GB2312" w:hAnsi="Times New Roman" w:eastAsia="仿宋_GB2312"/>
          <w:kern w:val="0"/>
          <w:sz w:val="28"/>
          <w:szCs w:val="28"/>
        </w:rPr>
        <w:t>一、投资者在参与退市整理股票交易前，应当充分了解退市制度、退市整理股票交易规定和进入退市整理期上市公司的基本面情况，并根据自身财务状况、实际需求及风险承受能力等，审慎考虑是否买入退市整理股票。退市整理股票已被证券交易所作出终止上市决定，在一定期限届满后将被摘牌，风险相对较大。</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仿宋_GB2312" w:hAnsi="Times New Roman" w:eastAsia="仿宋_GB2312"/>
          <w:kern w:val="0"/>
          <w:sz w:val="28"/>
          <w:szCs w:val="28"/>
          <w:lang w:val="en-US" w:eastAsia="zh-CN"/>
        </w:rPr>
      </w:pPr>
      <w:r>
        <w:rPr>
          <w:rFonts w:hint="eastAsia" w:ascii="仿宋_GB2312" w:hAnsi="Times New Roman" w:eastAsia="仿宋_GB2312"/>
          <w:kern w:val="0"/>
          <w:sz w:val="28"/>
          <w:szCs w:val="28"/>
          <w:lang w:val="en-US" w:eastAsia="zh-CN"/>
        </w:rPr>
        <w:t xml:space="preserve">    二、进入退市整理期的股票，在风险警示板的交易期限为15个交易日，退市整理期交易首日无价格涨跌幅限制。</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lang w:val="en-US" w:eastAsia="zh-CN"/>
        </w:rPr>
        <w:t>三、</w:t>
      </w:r>
      <w:r>
        <w:rPr>
          <w:rFonts w:hint="eastAsia" w:ascii="仿宋_GB2312" w:hAnsi="Times New Roman" w:eastAsia="仿宋_GB2312"/>
          <w:kern w:val="0"/>
          <w:sz w:val="28"/>
          <w:szCs w:val="28"/>
        </w:rPr>
        <w:t>证券交易所于退市整理交易期限届满后</w:t>
      </w:r>
      <w:r>
        <w:rPr>
          <w:rFonts w:ascii="仿宋_GB2312" w:hAnsi="Times New Roman" w:eastAsia="仿宋_GB2312"/>
          <w:kern w:val="0"/>
          <w:sz w:val="28"/>
          <w:szCs w:val="28"/>
        </w:rPr>
        <w:t>5个交易日内对退市整理股票予</w:t>
      </w:r>
      <w:r>
        <w:rPr>
          <w:rFonts w:hint="eastAsia" w:ascii="仿宋_GB2312" w:hAnsi="Times New Roman" w:eastAsia="仿宋_GB2312"/>
          <w:kern w:val="0"/>
          <w:sz w:val="28"/>
          <w:szCs w:val="28"/>
        </w:rPr>
        <w:t>以摘牌，公司股票终止上市。投资者应当密切关注退市整理股票的剩余交易日和最后交易日，否则有可能错失卖出机会，造成不必要的损失。退市整理股票在风险警示板交易期间全天停牌的，停牌期间不计入上述交易期限内。全天停牌的天数累计不超过5个交易日。</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四</w:t>
      </w:r>
      <w:r>
        <w:rPr>
          <w:rFonts w:ascii="仿宋_GB2312" w:hAnsi="Times New Roman" w:eastAsia="仿宋_GB2312"/>
          <w:kern w:val="0"/>
          <w:sz w:val="28"/>
          <w:szCs w:val="28"/>
        </w:rPr>
        <w:t>、</w:t>
      </w:r>
      <w:r>
        <w:rPr>
          <w:rFonts w:hint="eastAsia" w:ascii="仿宋_GB2312" w:hAnsi="Times New Roman" w:eastAsia="仿宋_GB2312"/>
          <w:kern w:val="0"/>
          <w:sz w:val="28"/>
          <w:szCs w:val="28"/>
        </w:rPr>
        <w:t>投资者在参与退市整理股票交易前，应充分了解投资者买卖退市整理股票应当采用限价委托的方式，退市整理期交易首日连续竞价阶段的限价申报应当符合相关要求。</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五</w:t>
      </w:r>
      <w:r>
        <w:rPr>
          <w:rFonts w:ascii="仿宋_GB2312" w:hAnsi="Times New Roman" w:eastAsia="仿宋_GB2312"/>
          <w:kern w:val="0"/>
          <w:sz w:val="28"/>
          <w:szCs w:val="28"/>
        </w:rPr>
        <w:t>、</w:t>
      </w:r>
      <w:r>
        <w:rPr>
          <w:rFonts w:hint="eastAsia" w:ascii="仿宋_GB2312" w:hAnsi="Times New Roman" w:eastAsia="仿宋_GB2312"/>
          <w:kern w:val="0"/>
          <w:sz w:val="28"/>
          <w:szCs w:val="28"/>
        </w:rPr>
        <w:t>退市整理股票的交易可能存在流动性风险，投资者买入后可能因无法在股票摘牌前及时卖出所持股票而导致损失。</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六</w:t>
      </w:r>
      <w:r>
        <w:rPr>
          <w:rFonts w:ascii="仿宋_GB2312" w:hAnsi="Times New Roman" w:eastAsia="仿宋_GB2312"/>
          <w:kern w:val="0"/>
          <w:sz w:val="28"/>
          <w:szCs w:val="28"/>
        </w:rPr>
        <w:t>、</w:t>
      </w:r>
      <w:r>
        <w:rPr>
          <w:rFonts w:hint="eastAsia" w:ascii="仿宋_GB2312" w:hAnsi="Times New Roman" w:eastAsia="仿宋_GB2312"/>
          <w:kern w:val="0"/>
          <w:sz w:val="28"/>
          <w:szCs w:val="28"/>
        </w:rPr>
        <w:t>退市整理股票交易实行投资者适当性管理制度。个人投资者买入退市整理股票的，应当具备</w:t>
      </w:r>
      <w:r>
        <w:rPr>
          <w:rFonts w:ascii="仿宋_GB2312" w:hAnsi="Times New Roman" w:eastAsia="仿宋_GB2312"/>
          <w:kern w:val="0"/>
          <w:sz w:val="28"/>
          <w:szCs w:val="28"/>
        </w:rPr>
        <w:t>2年以上的股票交易经历，且以本人名义开立的证券账户和资金账户内的资产（不含通过融资融券交易融入的证券和资金）在人民币50万元以上。不符合以上规定的个人投资者，仅可卖出已持有的退市整理股票。</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七</w:t>
      </w:r>
      <w:r>
        <w:rPr>
          <w:rFonts w:ascii="仿宋_GB2312" w:hAnsi="Times New Roman" w:eastAsia="仿宋_GB2312"/>
          <w:kern w:val="0"/>
          <w:sz w:val="28"/>
          <w:szCs w:val="28"/>
        </w:rPr>
        <w:t>、</w:t>
      </w:r>
      <w:r>
        <w:rPr>
          <w:rFonts w:hint="eastAsia" w:ascii="仿宋_GB2312" w:hAnsi="Times New Roman" w:eastAsia="仿宋_GB2312"/>
          <w:kern w:val="0"/>
          <w:sz w:val="28"/>
          <w:szCs w:val="28"/>
        </w:rPr>
        <w:t>按照现行有关规定，虽然上市公司股票被终止上市后可以向证券交易所申请重新上市，但须达到交易所规定的重新上市条件，能否重新上市存在较大的不确定性。</w:t>
      </w:r>
    </w:p>
    <w:p>
      <w:pPr>
        <w:pStyle w:val="4"/>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_GB2312" w:hAnsi="Times New Roman" w:eastAsia="仿宋_GB2312"/>
          <w:kern w:val="0"/>
          <w:sz w:val="28"/>
          <w:szCs w:val="28"/>
        </w:rPr>
      </w:pPr>
      <w:r>
        <w:rPr>
          <w:rFonts w:hint="eastAsia" w:ascii="仿宋_GB2312" w:hAnsi="Times New Roman" w:eastAsia="仿宋_GB2312"/>
          <w:kern w:val="0"/>
          <w:sz w:val="28"/>
          <w:szCs w:val="28"/>
        </w:rPr>
        <w:t>八</w:t>
      </w:r>
      <w:r>
        <w:rPr>
          <w:rFonts w:ascii="仿宋_GB2312" w:hAnsi="Times New Roman" w:eastAsia="仿宋_GB2312"/>
          <w:kern w:val="0"/>
          <w:sz w:val="28"/>
          <w:szCs w:val="28"/>
        </w:rPr>
        <w:t>、</w:t>
      </w:r>
      <w:r>
        <w:rPr>
          <w:rFonts w:hint="eastAsia" w:ascii="仿宋_GB2312" w:hAnsi="Times New Roman" w:eastAsia="仿宋_GB2312"/>
          <w:kern w:val="0"/>
          <w:sz w:val="28"/>
          <w:szCs w:val="28"/>
        </w:rPr>
        <w:t>投资者应当特别关注公司在退市整理期期间发布的风险提示性公告，及时从符合中国证监会规定条件的媒体等渠道获取相关信息。</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kern w:val="0"/>
          <w:sz w:val="28"/>
          <w:szCs w:val="28"/>
        </w:rPr>
      </w:pPr>
      <w:r>
        <w:rPr>
          <w:rFonts w:hint="eastAsia" w:ascii="仿宋_GB2312" w:hAnsi="Times New Roman" w:eastAsia="仿宋_GB2312"/>
          <w:kern w:val="0"/>
          <w:sz w:val="28"/>
          <w:szCs w:val="28"/>
        </w:rPr>
        <w:t>退市整理股票相关法律、行政法规、部门规章、规范性文件（以下简称法律法规）、证券交易所和登记结算机构业务规则可能根据市场情况进行制定、废止和修改，投资者应当及时予以关注和了解。</w:t>
      </w:r>
    </w:p>
    <w:p>
      <w:pPr>
        <w:pStyle w:val="4"/>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Times New Roman" w:eastAsia="仿宋_GB2312"/>
          <w:b/>
          <w:bCs/>
          <w:kern w:val="0"/>
          <w:sz w:val="28"/>
          <w:szCs w:val="28"/>
        </w:rPr>
      </w:pPr>
    </w:p>
    <w:p>
      <w:pPr>
        <w:pStyle w:val="4"/>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Times New Roman" w:eastAsia="仿宋_GB2312"/>
          <w:b/>
          <w:bCs/>
          <w:kern w:val="0"/>
          <w:sz w:val="28"/>
          <w:szCs w:val="28"/>
        </w:rPr>
      </w:pPr>
      <w:r>
        <w:rPr>
          <w:rFonts w:hint="eastAsia" w:ascii="仿宋_GB2312" w:hAnsi="Times New Roman" w:eastAsia="仿宋_GB2312"/>
          <w:b/>
          <w:bCs/>
          <w:kern w:val="0"/>
          <w:sz w:val="28"/>
          <w:szCs w:val="28"/>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pPr>
        <w:pStyle w:val="4"/>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_GB2312" w:hAnsi="Times New Roman" w:eastAsia="仿宋_GB2312"/>
          <w:b/>
          <w:bCs/>
          <w:kern w:val="0"/>
          <w:sz w:val="28"/>
          <w:szCs w:val="28"/>
        </w:rPr>
      </w:pPr>
      <w:r>
        <w:rPr>
          <w:rFonts w:hint="eastAsia" w:ascii="仿宋_GB2312" w:hAnsi="Times New Roman" w:eastAsia="仿宋_GB2312"/>
          <w:b/>
          <w:bCs/>
          <w:kern w:val="0"/>
          <w:sz w:val="28"/>
          <w:szCs w:val="28"/>
        </w:rPr>
        <w:t>特别提示：您在本《风险揭示书》上签字，即表明您确认已知晓并理解风险揭示的全部内容，愿意承担参与退市</w:t>
      </w:r>
      <w:r>
        <w:rPr>
          <w:rFonts w:hint="eastAsia" w:ascii="仿宋_GB2312" w:hAnsi="Times New Roman" w:eastAsia="仿宋_GB2312"/>
          <w:b/>
          <w:bCs/>
          <w:kern w:val="0"/>
          <w:sz w:val="28"/>
          <w:szCs w:val="28"/>
          <w:lang w:val="en-US" w:eastAsia="zh-CN"/>
        </w:rPr>
        <w:t>整理</w:t>
      </w:r>
      <w:r>
        <w:rPr>
          <w:rFonts w:hint="eastAsia" w:ascii="仿宋_GB2312" w:hAnsi="Times New Roman" w:eastAsia="仿宋_GB2312"/>
          <w:b/>
          <w:bCs/>
          <w:kern w:val="0"/>
          <w:sz w:val="28"/>
          <w:szCs w:val="28"/>
        </w:rPr>
        <w:t>股票业务的风险和损失。</w:t>
      </w:r>
    </w:p>
    <w:p>
      <w:pPr>
        <w:rPr>
          <w:rFonts w:ascii="华文仿宋" w:hAnsi="华文仿宋" w:eastAsia="华文仿宋"/>
          <w:kern w:val="0"/>
          <w:sz w:val="24"/>
        </w:rPr>
      </w:pPr>
    </w:p>
    <w:p>
      <w:pPr>
        <w:pStyle w:val="3"/>
        <w:spacing w:before="236"/>
        <w:ind w:left="1204"/>
        <w:jc w:val="center"/>
        <w:rPr>
          <w:sz w:val="28"/>
          <w:szCs w:val="28"/>
          <w:lang w:eastAsia="zh-CN"/>
        </w:rPr>
      </w:pPr>
      <w:r>
        <w:rPr>
          <w:rFonts w:hint="eastAsia"/>
          <w:sz w:val="28"/>
          <w:szCs w:val="28"/>
          <w:lang w:eastAsia="zh-CN"/>
        </w:rPr>
        <w:t>投资者</w:t>
      </w:r>
      <w:r>
        <w:rPr>
          <w:rFonts w:hint="eastAsia"/>
          <w:sz w:val="28"/>
          <w:szCs w:val="28"/>
          <w:lang w:val="en-US" w:eastAsia="zh-CN"/>
        </w:rPr>
        <w:t>签章</w:t>
      </w:r>
      <w:r>
        <w:rPr>
          <w:sz w:val="28"/>
          <w:szCs w:val="28"/>
          <w:lang w:eastAsia="zh-CN"/>
        </w:rPr>
        <w:t>：</w:t>
      </w:r>
    </w:p>
    <w:p>
      <w:pPr>
        <w:pStyle w:val="3"/>
        <w:tabs>
          <w:tab w:val="left" w:pos="6571"/>
          <w:tab w:val="left" w:pos="7322"/>
          <w:tab w:val="left" w:pos="8071"/>
        </w:tabs>
        <w:spacing w:before="236" w:line="386" w:lineRule="auto"/>
        <w:ind w:left="4267" w:leftChars="2032" w:right="175"/>
        <w:rPr>
          <w:rFonts w:ascii="华文仿宋" w:hAnsi="华文仿宋" w:eastAsia="华文仿宋"/>
          <w:kern w:val="0"/>
          <w:sz w:val="24"/>
        </w:rPr>
      </w:pPr>
      <w:r>
        <w:rPr>
          <w:sz w:val="28"/>
          <w:szCs w:val="28"/>
          <w:lang w:eastAsia="zh-CN"/>
        </w:rPr>
        <w:t>签署日期：</w:t>
      </w:r>
      <w:r>
        <w:rPr>
          <w:rFonts w:hint="eastAsia"/>
          <w:sz w:val="28"/>
          <w:szCs w:val="28"/>
          <w:lang w:val="en-US" w:eastAsia="zh-CN"/>
        </w:rPr>
        <w:t xml:space="preserve">   </w:t>
      </w:r>
      <w:r>
        <w:rPr>
          <w:sz w:val="28"/>
          <w:szCs w:val="28"/>
          <w:lang w:eastAsia="zh-CN"/>
        </w:rPr>
        <w:t>年</w:t>
      </w:r>
      <w:r>
        <w:rPr>
          <w:sz w:val="28"/>
          <w:szCs w:val="28"/>
          <w:lang w:eastAsia="zh-CN"/>
        </w:rPr>
        <w:tab/>
      </w:r>
      <w:r>
        <w:rPr>
          <w:rFonts w:hint="eastAsia"/>
          <w:sz w:val="28"/>
          <w:szCs w:val="28"/>
          <w:lang w:val="en-US" w:eastAsia="zh-CN"/>
        </w:rPr>
        <w:t xml:space="preserve">  </w:t>
      </w:r>
      <w:r>
        <w:rPr>
          <w:sz w:val="28"/>
          <w:szCs w:val="28"/>
          <w:lang w:eastAsia="zh-CN"/>
        </w:rPr>
        <w:t>月</w:t>
      </w:r>
      <w:r>
        <w:rPr>
          <w:sz w:val="28"/>
          <w:szCs w:val="28"/>
          <w:lang w:eastAsia="zh-CN"/>
        </w:rPr>
        <w:tab/>
      </w:r>
      <w:r>
        <w:rPr>
          <w:rFonts w:hint="eastAsia"/>
          <w:sz w:val="28"/>
          <w:szCs w:val="28"/>
          <w:lang w:val="en-US" w:eastAsia="zh-CN"/>
        </w:rPr>
        <w:t xml:space="preserve">  </w:t>
      </w:r>
      <w:r>
        <w:rPr>
          <w:sz w:val="28"/>
          <w:szCs w:val="28"/>
          <w:lang w:eastAsia="zh-CN"/>
        </w:rPr>
        <w:t>日</w:t>
      </w:r>
    </w:p>
    <w:p>
      <w:pPr>
        <w:rPr>
          <w:rFonts w:ascii="华文仿宋" w:hAnsi="华文仿宋" w:eastAsia="华文仿宋"/>
          <w:kern w:val="0"/>
          <w:sz w:val="24"/>
        </w:rPr>
      </w:pPr>
    </w:p>
    <w:p>
      <w:pPr>
        <w:rPr>
          <w:rFonts w:ascii="仿宋_GB2312" w:eastAsia="仿宋_GB2312"/>
        </w:rPr>
      </w:pPr>
    </w:p>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6D44B"/>
    <w:multiLevelType w:val="singleLevel"/>
    <w:tmpl w:val="3A86D44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xNjg2ZTNjZjJkOTkwNzViNzJlODYzN2I2NTE1NTQifQ=="/>
  </w:docVars>
  <w:rsids>
    <w:rsidRoot w:val="00C106D0"/>
    <w:rsid w:val="001868FC"/>
    <w:rsid w:val="001A2122"/>
    <w:rsid w:val="001F0D97"/>
    <w:rsid w:val="001F75AF"/>
    <w:rsid w:val="002E02DA"/>
    <w:rsid w:val="002F6BB1"/>
    <w:rsid w:val="00315F72"/>
    <w:rsid w:val="00326F5B"/>
    <w:rsid w:val="00346234"/>
    <w:rsid w:val="00474367"/>
    <w:rsid w:val="004777E8"/>
    <w:rsid w:val="00503FBF"/>
    <w:rsid w:val="005768C3"/>
    <w:rsid w:val="00626DA4"/>
    <w:rsid w:val="00646D77"/>
    <w:rsid w:val="00657B50"/>
    <w:rsid w:val="0067723A"/>
    <w:rsid w:val="00685EC7"/>
    <w:rsid w:val="007963F3"/>
    <w:rsid w:val="008D616D"/>
    <w:rsid w:val="008F0B98"/>
    <w:rsid w:val="00932134"/>
    <w:rsid w:val="009B28B2"/>
    <w:rsid w:val="009B2F2B"/>
    <w:rsid w:val="009E6D0C"/>
    <w:rsid w:val="00A00AEC"/>
    <w:rsid w:val="00A6505F"/>
    <w:rsid w:val="00AA0D9C"/>
    <w:rsid w:val="00AA0FAA"/>
    <w:rsid w:val="00B60626"/>
    <w:rsid w:val="00BF00B4"/>
    <w:rsid w:val="00C106D0"/>
    <w:rsid w:val="00C7012B"/>
    <w:rsid w:val="00CA4C3E"/>
    <w:rsid w:val="00CB47D0"/>
    <w:rsid w:val="00D166D3"/>
    <w:rsid w:val="00D80E5C"/>
    <w:rsid w:val="00ED4D20"/>
    <w:rsid w:val="00FC6CF6"/>
    <w:rsid w:val="00FE2E8D"/>
    <w:rsid w:val="08386EF1"/>
    <w:rsid w:val="146756BA"/>
    <w:rsid w:val="1DB17672"/>
    <w:rsid w:val="287C1338"/>
    <w:rsid w:val="2C167EE4"/>
    <w:rsid w:val="38120693"/>
    <w:rsid w:val="4C3B7D1A"/>
    <w:rsid w:val="4FBE32C0"/>
    <w:rsid w:val="5BAC6A7F"/>
    <w:rsid w:val="677750A0"/>
    <w:rsid w:val="6E9E1E21"/>
    <w:rsid w:val="7CE9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Body Text"/>
    <w:basedOn w:val="1"/>
    <w:qFormat/>
    <w:uiPriority w:val="1"/>
    <w:pPr>
      <w:spacing w:before="53"/>
      <w:ind w:left="120"/>
    </w:pPr>
    <w:rPr>
      <w:rFonts w:ascii="仿宋_GB2312" w:hAnsi="仿宋_GB2312" w:eastAsia="仿宋_GB2312"/>
      <w:sz w:val="30"/>
      <w:szCs w:val="30"/>
    </w:rPr>
  </w:style>
  <w:style w:type="paragraph" w:styleId="4">
    <w:name w:val="Plain Text"/>
    <w:basedOn w:val="1"/>
    <w:link w:val="11"/>
    <w:qFormat/>
    <w:uiPriority w:val="0"/>
    <w:rPr>
      <w:rFonts w:ascii="宋体" w:hAnsi="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0"/>
    <w:rPr>
      <w:rFonts w:ascii="Times New Roman" w:hAnsi="Times New Roman" w:eastAsia="宋体" w:cs="Times New Roman"/>
      <w:sz w:val="18"/>
      <w:szCs w:val="18"/>
    </w:rPr>
  </w:style>
  <w:style w:type="character" w:customStyle="1" w:styleId="11">
    <w:name w:val="纯文本 Char"/>
    <w:basedOn w:val="9"/>
    <w:link w:val="4"/>
    <w:qFormat/>
    <w:uiPriority w:val="0"/>
    <w:rPr>
      <w:rFonts w:ascii="宋体" w:hAnsi="Courier New" w:eastAsia="宋体" w:cs="Times New Roman"/>
      <w:szCs w:val="20"/>
    </w:rPr>
  </w:style>
  <w:style w:type="character" w:customStyle="1" w:styleId="12">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2318</Words>
  <Characters>2326</Characters>
  <Lines>7</Lines>
  <Paragraphs>2</Paragraphs>
  <TotalTime>6</TotalTime>
  <ScaleCrop>false</ScaleCrop>
  <LinksUpToDate>false</LinksUpToDate>
  <CharactersWithSpaces>2366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2015-10-26T02:39:00Z</dcterms:created>
  <dc:creator>xbzq-lb</dc:creator>
  <cp:lastModifiedBy>王欣怡</cp:lastModifiedBy>
  <dcterms:modified xsi:type="dcterms:W3CDTF">2023-02-18T01:53:49Z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5667B2FBDA434CD89DA90F9699A7189F</vt:lpwstr>
  </property>
</Properties>
</file>