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E9" w:rsidRPr="007E36F9" w:rsidRDefault="00186BE9" w:rsidP="00186BE9">
      <w:pPr>
        <w:ind w:left="60" w:hangingChars="20" w:hanging="60"/>
        <w:jc w:val="center"/>
        <w:rPr>
          <w:rFonts w:ascii="黑体" w:eastAsia="黑体" w:hAnsi="黑体" w:cs="Times New Roman"/>
          <w:b/>
          <w:bCs/>
          <w:sz w:val="30"/>
          <w:szCs w:val="30"/>
        </w:rPr>
      </w:pPr>
      <w:r w:rsidRPr="007E36F9">
        <w:rPr>
          <w:rFonts w:ascii="黑体" w:eastAsia="黑体" w:hAnsi="黑体" w:cs="Times New Roman" w:hint="eastAsia"/>
          <w:b/>
          <w:bCs/>
          <w:sz w:val="30"/>
          <w:szCs w:val="30"/>
        </w:rPr>
        <w:t>证券投资基金投资人权益须知</w:t>
      </w:r>
    </w:p>
    <w:p w:rsidR="00186BE9" w:rsidRPr="007E36F9" w:rsidRDefault="00186BE9" w:rsidP="00186BE9">
      <w:pPr>
        <w:rPr>
          <w:rFonts w:ascii="黑体" w:eastAsia="黑体" w:hAnsi="黑体" w:cs="Times New Roman"/>
          <w:b/>
          <w:bCs/>
          <w:sz w:val="26"/>
          <w:szCs w:val="26"/>
        </w:rPr>
      </w:pPr>
    </w:p>
    <w:p w:rsidR="00186BE9" w:rsidRPr="007E36F9" w:rsidRDefault="00186BE9" w:rsidP="00186BE9">
      <w:pPr>
        <w:rPr>
          <w:rFonts w:ascii="黑体" w:eastAsia="黑体" w:hAnsi="黑体" w:cs="Times New Roman"/>
          <w:bCs/>
          <w:sz w:val="26"/>
          <w:szCs w:val="26"/>
        </w:rPr>
      </w:pPr>
      <w:r w:rsidRPr="007E36F9">
        <w:rPr>
          <w:rFonts w:ascii="黑体" w:eastAsia="黑体" w:hAnsi="黑体" w:cs="Times New Roman" w:hint="eastAsia"/>
          <w:bCs/>
          <w:sz w:val="26"/>
          <w:szCs w:val="26"/>
        </w:rPr>
        <w:t>尊敬的基金投资人：</w:t>
      </w:r>
    </w:p>
    <w:p w:rsidR="00186BE9" w:rsidRPr="007E36F9" w:rsidRDefault="00186BE9" w:rsidP="00186BE9">
      <w:pPr>
        <w:ind w:firstLineChars="200" w:firstLine="520"/>
        <w:rPr>
          <w:rFonts w:ascii="黑体" w:eastAsia="黑体" w:hAnsi="黑体" w:cs="Times New Roman"/>
          <w:bCs/>
          <w:sz w:val="26"/>
          <w:szCs w:val="26"/>
        </w:rPr>
      </w:pPr>
      <w:r w:rsidRPr="007E36F9">
        <w:rPr>
          <w:rFonts w:ascii="黑体" w:eastAsia="黑体" w:hAnsi="黑体" w:cs="Times New Roman" w:hint="eastAsia"/>
          <w:bCs/>
          <w:sz w:val="26"/>
          <w:szCs w:val="26"/>
        </w:rPr>
        <w:t>基金投资在获取收益的同时存在投资风险。为了保护您的合法权益，请在投资基金前认真阅读以下内容：</w:t>
      </w:r>
    </w:p>
    <w:p w:rsidR="00186BE9" w:rsidRPr="007E36F9" w:rsidRDefault="00186BE9" w:rsidP="00186BE9">
      <w:pPr>
        <w:ind w:firstLineChars="200" w:firstLine="522"/>
        <w:rPr>
          <w:rFonts w:ascii="黑体" w:eastAsia="黑体" w:hAnsi="黑体" w:cs="Times New Roman"/>
          <w:b/>
          <w:bCs/>
          <w:sz w:val="26"/>
          <w:szCs w:val="26"/>
        </w:rPr>
      </w:pPr>
    </w:p>
    <w:p w:rsidR="00186BE9" w:rsidRPr="007E36F9" w:rsidRDefault="00186BE9" w:rsidP="00186BE9">
      <w:pPr>
        <w:ind w:left="602"/>
        <w:rPr>
          <w:rFonts w:ascii="黑体" w:eastAsia="黑体" w:hAnsi="黑体" w:cs="Times New Roman"/>
          <w:b/>
          <w:bCs/>
          <w:sz w:val="28"/>
          <w:szCs w:val="28"/>
        </w:rPr>
      </w:pPr>
      <w:r w:rsidRPr="007E36F9">
        <w:rPr>
          <w:rFonts w:ascii="黑体" w:eastAsia="黑体" w:hAnsi="黑体" w:cs="Times New Roman" w:hint="eastAsia"/>
          <w:b/>
          <w:bCs/>
          <w:sz w:val="28"/>
          <w:szCs w:val="28"/>
        </w:rPr>
        <w:t xml:space="preserve">一、基金的基本知识  </w:t>
      </w:r>
    </w:p>
    <w:p w:rsidR="00186BE9" w:rsidRPr="007E36F9" w:rsidRDefault="00186BE9" w:rsidP="00186BE9">
      <w:pPr>
        <w:ind w:firstLineChars="200" w:firstLine="562"/>
        <w:rPr>
          <w:rFonts w:ascii="黑体" w:eastAsia="黑体" w:hAnsi="黑体" w:cs="宋体"/>
          <w:b/>
          <w:kern w:val="0"/>
          <w:sz w:val="28"/>
          <w:szCs w:val="28"/>
        </w:rPr>
      </w:pPr>
      <w:r w:rsidRPr="007E36F9">
        <w:rPr>
          <w:rFonts w:ascii="黑体" w:eastAsia="黑体" w:hAnsi="黑体" w:cs="宋体" w:hint="eastAsia"/>
          <w:b/>
          <w:kern w:val="0"/>
          <w:sz w:val="28"/>
          <w:szCs w:val="28"/>
        </w:rPr>
        <w:t>（一）什么是基金</w:t>
      </w:r>
    </w:p>
    <w:p w:rsidR="00186BE9" w:rsidRPr="007E36F9" w:rsidRDefault="00186BE9" w:rsidP="00186BE9">
      <w:pPr>
        <w:ind w:firstLineChars="200" w:firstLine="520"/>
        <w:rPr>
          <w:rFonts w:ascii="黑体" w:eastAsia="黑体" w:hAnsi="黑体" w:cs="宋体"/>
          <w:kern w:val="0"/>
          <w:sz w:val="26"/>
          <w:szCs w:val="26"/>
        </w:rPr>
      </w:pPr>
      <w:r w:rsidRPr="007E36F9">
        <w:rPr>
          <w:rFonts w:ascii="黑体" w:eastAsia="黑体" w:hAnsi="黑体" w:cs="宋体" w:hint="eastAsia"/>
          <w:kern w:val="0"/>
          <w:sz w:val="26"/>
          <w:szCs w:val="26"/>
        </w:rPr>
        <w:t>证券投资基金（简称基金）是指通过发售基金份额，将众多投资者的资金集中起来，形成独立财产，由基金托管人托管，基金管理人管理，以投资组合的方法进行证券投资的一种利益共享、风险共担的集合投资方式。</w:t>
      </w:r>
    </w:p>
    <w:p w:rsidR="00186BE9" w:rsidRPr="007E36F9" w:rsidRDefault="00186BE9" w:rsidP="00186BE9">
      <w:pPr>
        <w:ind w:leftChars="284" w:left="596"/>
        <w:rPr>
          <w:rFonts w:ascii="黑体" w:eastAsia="黑体" w:hAnsi="黑体" w:cs="宋体"/>
          <w:b/>
          <w:kern w:val="0"/>
          <w:sz w:val="28"/>
          <w:szCs w:val="28"/>
        </w:rPr>
      </w:pPr>
      <w:r w:rsidRPr="007E36F9">
        <w:rPr>
          <w:rFonts w:ascii="黑体" w:eastAsia="黑体" w:hAnsi="黑体" w:cs="宋体" w:hint="eastAsia"/>
          <w:b/>
          <w:kern w:val="0"/>
          <w:sz w:val="28"/>
          <w:szCs w:val="28"/>
        </w:rPr>
        <w:t>（二）基金与股票、债券、储蓄存款等其它金融工具的区别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7"/>
        <w:gridCol w:w="2308"/>
        <w:gridCol w:w="1574"/>
        <w:gridCol w:w="1679"/>
        <w:gridCol w:w="1804"/>
      </w:tblGrid>
      <w:tr w:rsidR="00186BE9" w:rsidRPr="007E36F9" w:rsidTr="004F5FA9">
        <w:trPr>
          <w:trHeight w:val="810"/>
        </w:trPr>
        <w:tc>
          <w:tcPr>
            <w:tcW w:w="1157" w:type="dxa"/>
            <w:shd w:val="clear" w:color="auto" w:fill="B3B3B3"/>
            <w:vAlign w:val="center"/>
          </w:tcPr>
          <w:p w:rsidR="00186BE9" w:rsidRPr="007E36F9" w:rsidRDefault="00186BE9" w:rsidP="004F5FA9">
            <w:pPr>
              <w:widowControl/>
              <w:spacing w:before="100" w:beforeAutospacing="1" w:after="100" w:afterAutospacing="1" w:line="300" w:lineRule="atLeast"/>
              <w:jc w:val="center"/>
              <w:rPr>
                <w:rFonts w:ascii="黑体" w:eastAsia="黑体" w:hAnsi="黑体" w:cs="宋体"/>
                <w:b/>
                <w:bCs/>
                <w:kern w:val="0"/>
                <w:sz w:val="26"/>
                <w:szCs w:val="26"/>
              </w:rPr>
            </w:pPr>
          </w:p>
        </w:tc>
        <w:tc>
          <w:tcPr>
            <w:tcW w:w="2308" w:type="dxa"/>
            <w:shd w:val="clear" w:color="auto" w:fill="B3B3B3"/>
            <w:vAlign w:val="center"/>
          </w:tcPr>
          <w:p w:rsidR="00186BE9" w:rsidRPr="007E36F9" w:rsidRDefault="00186BE9" w:rsidP="004F5FA9">
            <w:pPr>
              <w:widowControl/>
              <w:spacing w:before="100" w:beforeAutospacing="1" w:after="100" w:afterAutospacing="1" w:line="300" w:lineRule="atLeast"/>
              <w:jc w:val="center"/>
              <w:rPr>
                <w:rFonts w:ascii="黑体" w:eastAsia="黑体" w:hAnsi="黑体" w:cs="宋体"/>
                <w:b/>
                <w:bCs/>
                <w:kern w:val="0"/>
                <w:sz w:val="26"/>
                <w:szCs w:val="26"/>
              </w:rPr>
            </w:pPr>
            <w:r w:rsidRPr="007E36F9">
              <w:rPr>
                <w:rFonts w:ascii="黑体" w:eastAsia="黑体" w:hAnsi="黑体" w:cs="宋体" w:hint="eastAsia"/>
                <w:b/>
                <w:bCs/>
                <w:kern w:val="0"/>
                <w:sz w:val="26"/>
                <w:szCs w:val="26"/>
              </w:rPr>
              <w:t>基金</w:t>
            </w:r>
          </w:p>
        </w:tc>
        <w:tc>
          <w:tcPr>
            <w:tcW w:w="1574" w:type="dxa"/>
            <w:shd w:val="clear" w:color="auto" w:fill="B3B3B3"/>
            <w:vAlign w:val="center"/>
          </w:tcPr>
          <w:p w:rsidR="00186BE9" w:rsidRPr="007E36F9" w:rsidRDefault="00186BE9" w:rsidP="004F5FA9">
            <w:pPr>
              <w:widowControl/>
              <w:spacing w:before="100" w:beforeAutospacing="1" w:after="100" w:afterAutospacing="1" w:line="300" w:lineRule="atLeast"/>
              <w:jc w:val="center"/>
              <w:rPr>
                <w:rFonts w:ascii="黑体" w:eastAsia="黑体" w:hAnsi="黑体" w:cs="宋体"/>
                <w:b/>
                <w:bCs/>
                <w:kern w:val="0"/>
                <w:sz w:val="26"/>
                <w:szCs w:val="26"/>
              </w:rPr>
            </w:pPr>
            <w:r w:rsidRPr="007E36F9">
              <w:rPr>
                <w:rFonts w:ascii="黑体" w:eastAsia="黑体" w:hAnsi="黑体" w:cs="宋体" w:hint="eastAsia"/>
                <w:b/>
                <w:bCs/>
                <w:kern w:val="0"/>
                <w:sz w:val="26"/>
                <w:szCs w:val="26"/>
              </w:rPr>
              <w:t>股票</w:t>
            </w:r>
          </w:p>
        </w:tc>
        <w:tc>
          <w:tcPr>
            <w:tcW w:w="1679" w:type="dxa"/>
            <w:shd w:val="clear" w:color="auto" w:fill="B3B3B3"/>
            <w:vAlign w:val="center"/>
          </w:tcPr>
          <w:p w:rsidR="00186BE9" w:rsidRPr="007E36F9" w:rsidRDefault="00186BE9" w:rsidP="004F5FA9">
            <w:pPr>
              <w:widowControl/>
              <w:spacing w:before="100" w:beforeAutospacing="1" w:after="100" w:afterAutospacing="1" w:line="300" w:lineRule="atLeast"/>
              <w:jc w:val="center"/>
              <w:rPr>
                <w:rFonts w:ascii="黑体" w:eastAsia="黑体" w:hAnsi="黑体" w:cs="宋体"/>
                <w:b/>
                <w:bCs/>
                <w:kern w:val="0"/>
                <w:sz w:val="26"/>
                <w:szCs w:val="26"/>
              </w:rPr>
            </w:pPr>
            <w:r w:rsidRPr="007E36F9">
              <w:rPr>
                <w:rFonts w:ascii="黑体" w:eastAsia="黑体" w:hAnsi="黑体" w:cs="宋体" w:hint="eastAsia"/>
                <w:b/>
                <w:bCs/>
                <w:kern w:val="0"/>
                <w:sz w:val="26"/>
                <w:szCs w:val="26"/>
              </w:rPr>
              <w:t>债券</w:t>
            </w:r>
          </w:p>
        </w:tc>
        <w:tc>
          <w:tcPr>
            <w:tcW w:w="1804" w:type="dxa"/>
            <w:shd w:val="clear" w:color="auto" w:fill="B3B3B3"/>
            <w:vAlign w:val="center"/>
          </w:tcPr>
          <w:p w:rsidR="00186BE9" w:rsidRPr="007E36F9" w:rsidRDefault="00186BE9" w:rsidP="004F5FA9">
            <w:pPr>
              <w:widowControl/>
              <w:spacing w:before="100" w:beforeAutospacing="1" w:after="100" w:afterAutospacing="1" w:line="300" w:lineRule="atLeast"/>
              <w:jc w:val="center"/>
              <w:rPr>
                <w:rFonts w:ascii="黑体" w:eastAsia="黑体" w:hAnsi="黑体" w:cs="宋体"/>
                <w:b/>
                <w:bCs/>
                <w:kern w:val="0"/>
                <w:sz w:val="26"/>
                <w:szCs w:val="26"/>
              </w:rPr>
            </w:pPr>
            <w:r w:rsidRPr="007E36F9">
              <w:rPr>
                <w:rFonts w:ascii="黑体" w:eastAsia="黑体" w:hAnsi="黑体" w:cs="宋体" w:hint="eastAsia"/>
                <w:b/>
                <w:bCs/>
                <w:kern w:val="0"/>
                <w:sz w:val="26"/>
                <w:szCs w:val="26"/>
              </w:rPr>
              <w:t>银行储蓄存款</w:t>
            </w:r>
          </w:p>
        </w:tc>
      </w:tr>
      <w:tr w:rsidR="00186BE9" w:rsidRPr="007E36F9" w:rsidTr="004F5FA9">
        <w:trPr>
          <w:trHeight w:val="2239"/>
        </w:trPr>
        <w:tc>
          <w:tcPr>
            <w:tcW w:w="1157"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反映的经济关系不同</w:t>
            </w:r>
          </w:p>
        </w:tc>
        <w:tc>
          <w:tcPr>
            <w:tcW w:w="2308"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信托关系，是一种受益凭证，投资者购买基金份额后成为基金受益人，基金管理人只是替投资者管理资金，并不承担投资损失风险</w:t>
            </w:r>
          </w:p>
        </w:tc>
        <w:tc>
          <w:tcPr>
            <w:tcW w:w="1574"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所有权关系，是一种所有权凭证，投资者购买后成为公司股东</w:t>
            </w:r>
          </w:p>
        </w:tc>
        <w:tc>
          <w:tcPr>
            <w:tcW w:w="1679"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债权债务关系，是一种债权凭证，投资者购买后成为该公司债权人</w:t>
            </w:r>
          </w:p>
        </w:tc>
        <w:tc>
          <w:tcPr>
            <w:tcW w:w="1804"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表现为银行的负债，是一种信用凭证，银行对存款者负有法定的保本付息责任</w:t>
            </w:r>
          </w:p>
        </w:tc>
      </w:tr>
      <w:tr w:rsidR="00186BE9" w:rsidRPr="007E36F9" w:rsidTr="004F5FA9">
        <w:trPr>
          <w:trHeight w:val="827"/>
        </w:trPr>
        <w:tc>
          <w:tcPr>
            <w:tcW w:w="1157"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lastRenderedPageBreak/>
              <w:t>所筹资金的投向不同</w:t>
            </w:r>
          </w:p>
        </w:tc>
        <w:tc>
          <w:tcPr>
            <w:tcW w:w="2308"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间接投资工具，主要投向股票、债券等有价证券</w:t>
            </w:r>
          </w:p>
        </w:tc>
        <w:tc>
          <w:tcPr>
            <w:tcW w:w="1574"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直接投资工具，主要投向实业领域</w:t>
            </w:r>
          </w:p>
        </w:tc>
        <w:tc>
          <w:tcPr>
            <w:tcW w:w="1679"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直接投资工具，主要投向实业领域</w:t>
            </w:r>
          </w:p>
        </w:tc>
        <w:tc>
          <w:tcPr>
            <w:tcW w:w="1804"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间接投资工具，银行负责资金用途和投向</w:t>
            </w:r>
          </w:p>
        </w:tc>
      </w:tr>
      <w:tr w:rsidR="00186BE9" w:rsidRPr="007E36F9" w:rsidTr="004F5FA9">
        <w:trPr>
          <w:trHeight w:val="1698"/>
        </w:trPr>
        <w:tc>
          <w:tcPr>
            <w:tcW w:w="1157"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投资收益与风险大小不同</w:t>
            </w:r>
          </w:p>
        </w:tc>
        <w:tc>
          <w:tcPr>
            <w:tcW w:w="2308"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投资于众多有价证券，能有效分散风险，风险相对适中，收益相对稳健</w:t>
            </w:r>
          </w:p>
        </w:tc>
        <w:tc>
          <w:tcPr>
            <w:tcW w:w="1574"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价格波动性大，高风险、高收益</w:t>
            </w:r>
          </w:p>
        </w:tc>
        <w:tc>
          <w:tcPr>
            <w:tcW w:w="1679"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价格波动较股票小，低风险、低收益</w:t>
            </w:r>
          </w:p>
        </w:tc>
        <w:tc>
          <w:tcPr>
            <w:tcW w:w="1804"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银行存款利率相对固定，损失本金的可能性很小，投资比较安全</w:t>
            </w:r>
          </w:p>
        </w:tc>
      </w:tr>
      <w:tr w:rsidR="00186BE9" w:rsidRPr="007E36F9" w:rsidTr="004F5FA9">
        <w:trPr>
          <w:trHeight w:val="883"/>
        </w:trPr>
        <w:tc>
          <w:tcPr>
            <w:tcW w:w="1157"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收益来源</w:t>
            </w:r>
          </w:p>
        </w:tc>
        <w:tc>
          <w:tcPr>
            <w:tcW w:w="2308"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利息收入、股利收入、资本利得</w:t>
            </w:r>
          </w:p>
        </w:tc>
        <w:tc>
          <w:tcPr>
            <w:tcW w:w="1574"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股利收入、资本利得</w:t>
            </w:r>
          </w:p>
        </w:tc>
        <w:tc>
          <w:tcPr>
            <w:tcW w:w="1679"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利息收入、资本利得</w:t>
            </w:r>
          </w:p>
        </w:tc>
        <w:tc>
          <w:tcPr>
            <w:tcW w:w="1804"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利息收入</w:t>
            </w:r>
          </w:p>
        </w:tc>
      </w:tr>
      <w:tr w:rsidR="00186BE9" w:rsidRPr="007E36F9" w:rsidTr="004F5FA9">
        <w:trPr>
          <w:trHeight w:val="1078"/>
        </w:trPr>
        <w:tc>
          <w:tcPr>
            <w:tcW w:w="1157"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投资渠道</w:t>
            </w:r>
          </w:p>
        </w:tc>
        <w:tc>
          <w:tcPr>
            <w:tcW w:w="2308"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基金管理公司及银行、证券公司等代销机构</w:t>
            </w:r>
          </w:p>
        </w:tc>
        <w:tc>
          <w:tcPr>
            <w:tcW w:w="1574"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证券公司</w:t>
            </w:r>
          </w:p>
        </w:tc>
        <w:tc>
          <w:tcPr>
            <w:tcW w:w="1679"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债券发行机构、证券公司及银行等代销机构</w:t>
            </w:r>
          </w:p>
        </w:tc>
        <w:tc>
          <w:tcPr>
            <w:tcW w:w="1804" w:type="dxa"/>
            <w:vAlign w:val="center"/>
          </w:tcPr>
          <w:p w:rsidR="00186BE9" w:rsidRPr="007E36F9" w:rsidRDefault="00186BE9" w:rsidP="004F5FA9">
            <w:pPr>
              <w:widowControl/>
              <w:spacing w:before="100" w:beforeAutospacing="1" w:after="100" w:afterAutospacing="1" w:line="300" w:lineRule="atLeast"/>
              <w:rPr>
                <w:rFonts w:ascii="黑体" w:eastAsia="黑体" w:hAnsi="黑体" w:cs="宋体"/>
                <w:bCs/>
                <w:kern w:val="0"/>
                <w:sz w:val="26"/>
                <w:szCs w:val="26"/>
              </w:rPr>
            </w:pPr>
            <w:r w:rsidRPr="007E36F9">
              <w:rPr>
                <w:rFonts w:ascii="黑体" w:eastAsia="黑体" w:hAnsi="黑体" w:cs="宋体" w:hint="eastAsia"/>
                <w:bCs/>
                <w:kern w:val="0"/>
                <w:sz w:val="26"/>
                <w:szCs w:val="26"/>
              </w:rPr>
              <w:t>银行、信用社、邮政储蓄银行</w:t>
            </w:r>
          </w:p>
        </w:tc>
      </w:tr>
    </w:tbl>
    <w:p w:rsidR="00186BE9" w:rsidRPr="007E36F9" w:rsidRDefault="00186BE9" w:rsidP="00186BE9">
      <w:pPr>
        <w:ind w:left="602"/>
        <w:rPr>
          <w:rFonts w:ascii="黑体" w:eastAsia="黑体" w:hAnsi="黑体" w:cs="宋体"/>
          <w:b/>
          <w:bCs/>
          <w:kern w:val="0"/>
          <w:sz w:val="28"/>
          <w:szCs w:val="28"/>
        </w:rPr>
      </w:pPr>
      <w:r w:rsidRPr="007E36F9">
        <w:rPr>
          <w:rFonts w:ascii="黑体" w:eastAsia="黑体" w:hAnsi="黑体" w:cs="宋体" w:hint="eastAsia"/>
          <w:b/>
          <w:bCs/>
          <w:kern w:val="0"/>
          <w:sz w:val="28"/>
          <w:szCs w:val="28"/>
        </w:rPr>
        <w:t>（三）基金的分类</w:t>
      </w:r>
    </w:p>
    <w:p w:rsidR="00186BE9" w:rsidRPr="007E36F9" w:rsidRDefault="00186BE9" w:rsidP="00186BE9">
      <w:pPr>
        <w:ind w:firstLineChars="200" w:firstLine="520"/>
        <w:rPr>
          <w:rFonts w:ascii="黑体" w:eastAsia="黑体" w:hAnsi="黑体" w:cs="宋体"/>
          <w:bCs/>
          <w:kern w:val="0"/>
          <w:sz w:val="26"/>
          <w:szCs w:val="26"/>
        </w:rPr>
      </w:pPr>
      <w:r w:rsidRPr="007E36F9">
        <w:rPr>
          <w:rFonts w:ascii="黑体" w:eastAsia="黑体" w:hAnsi="黑体" w:cs="宋体" w:hint="eastAsia"/>
          <w:bCs/>
          <w:kern w:val="0"/>
          <w:sz w:val="26"/>
          <w:szCs w:val="26"/>
        </w:rPr>
        <w:t>1、依据运作方式的不同，可分为封闭式基金与开放式基金。</w:t>
      </w:r>
    </w:p>
    <w:p w:rsidR="00186BE9" w:rsidRPr="007E36F9" w:rsidRDefault="00186BE9" w:rsidP="00186BE9">
      <w:pPr>
        <w:ind w:firstLineChars="200" w:firstLine="520"/>
        <w:rPr>
          <w:rFonts w:ascii="黑体" w:eastAsia="黑体" w:hAnsi="黑体" w:cs="宋体"/>
          <w:bCs/>
          <w:kern w:val="0"/>
          <w:sz w:val="26"/>
          <w:szCs w:val="26"/>
        </w:rPr>
      </w:pPr>
      <w:r w:rsidRPr="007E36F9">
        <w:rPr>
          <w:rFonts w:ascii="黑体" w:eastAsia="黑体" w:hAnsi="黑体" w:cs="宋体" w:hint="eastAsia"/>
          <w:bCs/>
          <w:kern w:val="0"/>
          <w:sz w:val="26"/>
          <w:szCs w:val="26"/>
        </w:rPr>
        <w:t>封闭式基金是指基金份额在基金合同期限内固定不变，基金份额可以在依法设立的证券交易所交易，但基金份额持有人不得申请赎回的一种基金运作方式。</w:t>
      </w:r>
    </w:p>
    <w:p w:rsidR="00186BE9" w:rsidRPr="007E36F9" w:rsidRDefault="00186BE9" w:rsidP="00186BE9">
      <w:pPr>
        <w:ind w:firstLineChars="200" w:firstLine="520"/>
        <w:rPr>
          <w:rFonts w:ascii="黑体" w:eastAsia="黑体" w:hAnsi="黑体" w:cs="宋体"/>
          <w:bCs/>
          <w:kern w:val="0"/>
          <w:sz w:val="26"/>
          <w:szCs w:val="26"/>
        </w:rPr>
      </w:pPr>
      <w:r w:rsidRPr="007E36F9">
        <w:rPr>
          <w:rFonts w:ascii="黑体" w:eastAsia="黑体" w:hAnsi="黑体" w:cs="宋体" w:hint="eastAsia"/>
          <w:bCs/>
          <w:kern w:val="0"/>
          <w:sz w:val="26"/>
          <w:szCs w:val="26"/>
        </w:rPr>
        <w:t>开放式基金是指基金份额不固定，基金份额可以在基金合同约定的时间和场所进行申购和赎回的一种基金运作方式。</w:t>
      </w:r>
    </w:p>
    <w:p w:rsidR="00186BE9" w:rsidRPr="007E36F9" w:rsidRDefault="00186BE9" w:rsidP="00186BE9">
      <w:pPr>
        <w:ind w:firstLineChars="200" w:firstLine="520"/>
        <w:rPr>
          <w:rFonts w:ascii="黑体" w:eastAsia="黑体" w:hAnsi="黑体" w:cs="宋体"/>
          <w:bCs/>
          <w:kern w:val="0"/>
          <w:sz w:val="26"/>
          <w:szCs w:val="26"/>
        </w:rPr>
      </w:pPr>
      <w:r w:rsidRPr="007E36F9">
        <w:rPr>
          <w:rFonts w:ascii="黑体" w:eastAsia="黑体" w:hAnsi="黑体" w:cs="Times New Roman" w:hint="eastAsia"/>
          <w:sz w:val="26"/>
          <w:szCs w:val="26"/>
        </w:rPr>
        <w:t xml:space="preserve"> </w:t>
      </w:r>
      <w:r w:rsidRPr="007E36F9">
        <w:rPr>
          <w:rFonts w:ascii="黑体" w:eastAsia="黑体" w:hAnsi="黑体" w:cs="宋体" w:hint="eastAsia"/>
          <w:bCs/>
          <w:kern w:val="0"/>
          <w:sz w:val="26"/>
          <w:szCs w:val="26"/>
        </w:rPr>
        <w:t>2、依据投资对象的不同，可分为股票基金、债券基金、货币市场基金、混合基金</w:t>
      </w:r>
    </w:p>
    <w:p w:rsidR="00186BE9" w:rsidRPr="007E36F9" w:rsidRDefault="00186BE9" w:rsidP="00186BE9">
      <w:pPr>
        <w:ind w:firstLineChars="198" w:firstLine="515"/>
        <w:rPr>
          <w:rFonts w:ascii="黑体" w:eastAsia="黑体" w:hAnsi="黑体" w:cs="宋体"/>
          <w:kern w:val="0"/>
          <w:sz w:val="26"/>
          <w:szCs w:val="26"/>
        </w:rPr>
      </w:pPr>
      <w:r w:rsidRPr="007E36F9">
        <w:rPr>
          <w:rFonts w:ascii="黑体" w:eastAsia="黑体" w:hAnsi="黑体" w:cs="宋体" w:hint="eastAsia"/>
          <w:kern w:val="0"/>
          <w:sz w:val="26"/>
          <w:szCs w:val="26"/>
        </w:rPr>
        <w:t>根据《证券投资基金运作管理办法》对基金类别的分类标准</w:t>
      </w:r>
      <w:r w:rsidR="00FE279E">
        <w:rPr>
          <w:rFonts w:ascii="黑体" w:eastAsia="黑体" w:hAnsi="黑体" w:cs="宋体" w:hint="eastAsia"/>
          <w:kern w:val="0"/>
          <w:sz w:val="26"/>
          <w:szCs w:val="26"/>
        </w:rPr>
        <w:t>，以及</w:t>
      </w:r>
      <w:r w:rsidR="00FE279E" w:rsidRPr="00FE279E">
        <w:rPr>
          <w:rFonts w:ascii="黑体" w:eastAsia="黑体" w:hAnsi="黑体" w:cs="宋体" w:hint="eastAsia"/>
          <w:kern w:val="0"/>
          <w:sz w:val="26"/>
          <w:szCs w:val="26"/>
        </w:rPr>
        <w:t>《关于规范金融机构资产管理业务的指导意见》</w:t>
      </w:r>
      <w:r w:rsidRPr="007E36F9">
        <w:rPr>
          <w:rFonts w:ascii="黑体" w:eastAsia="黑体" w:hAnsi="黑体" w:cs="宋体" w:hint="eastAsia"/>
          <w:kern w:val="0"/>
          <w:sz w:val="26"/>
          <w:szCs w:val="26"/>
        </w:rPr>
        <w:t>,</w:t>
      </w:r>
      <w:r w:rsidR="00FE279E">
        <w:rPr>
          <w:rFonts w:ascii="黑体" w:eastAsia="黑体" w:hAnsi="黑体" w:cs="宋体" w:hint="eastAsia"/>
          <w:kern w:val="0"/>
          <w:sz w:val="26"/>
          <w:szCs w:val="26"/>
        </w:rPr>
        <w:t>8</w:t>
      </w:r>
      <w:r w:rsidRPr="007E36F9">
        <w:rPr>
          <w:rFonts w:ascii="黑体" w:eastAsia="黑体" w:hAnsi="黑体" w:cs="宋体" w:hint="eastAsia"/>
          <w:kern w:val="0"/>
          <w:sz w:val="26"/>
          <w:szCs w:val="26"/>
        </w:rPr>
        <w:t>0%以上的基金资产投资于股票的为股票基金；80%以上的基金资产投资于债券的为债券基金；仅投资于货币市场工具的为货币市场基金；投资于股票、债券和货币市场工具，但股票投资和债券投资的比例不符合股票基金、债券基金规定的为混合基金。这些基金类别</w:t>
      </w:r>
      <w:proofErr w:type="gramStart"/>
      <w:r w:rsidRPr="007E36F9">
        <w:rPr>
          <w:rFonts w:ascii="黑体" w:eastAsia="黑体" w:hAnsi="黑体" w:cs="宋体" w:hint="eastAsia"/>
          <w:kern w:val="0"/>
          <w:sz w:val="26"/>
          <w:szCs w:val="26"/>
        </w:rPr>
        <w:t>按收益</w:t>
      </w:r>
      <w:proofErr w:type="gramEnd"/>
      <w:r w:rsidRPr="007E36F9">
        <w:rPr>
          <w:rFonts w:ascii="黑体" w:eastAsia="黑体" w:hAnsi="黑体" w:cs="宋体" w:hint="eastAsia"/>
          <w:kern w:val="0"/>
          <w:sz w:val="26"/>
          <w:szCs w:val="26"/>
        </w:rPr>
        <w:t>和风险由高到低的排列顺序为：股票基金、混合基金、债券基金、货币市场基金，即股票基金的风险和收益最高，货币市场基金的风险和收益最低。</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bCs/>
          <w:kern w:val="0"/>
          <w:sz w:val="26"/>
          <w:szCs w:val="26"/>
        </w:rPr>
        <w:t>3、</w:t>
      </w:r>
      <w:r w:rsidRPr="007E36F9">
        <w:rPr>
          <w:rFonts w:ascii="黑体" w:eastAsia="黑体" w:hAnsi="黑体" w:cs="宋体" w:hint="eastAsia"/>
          <w:kern w:val="0"/>
          <w:sz w:val="26"/>
          <w:szCs w:val="26"/>
        </w:rPr>
        <w:t>特殊类型基金</w:t>
      </w:r>
    </w:p>
    <w:p w:rsidR="00186BE9" w:rsidRPr="007E36F9" w:rsidRDefault="00186BE9" w:rsidP="00186BE9">
      <w:pPr>
        <w:ind w:firstLineChars="200" w:firstLine="520"/>
        <w:rPr>
          <w:rFonts w:ascii="黑体" w:eastAsia="黑体" w:hAnsi="黑体" w:cs="宋体"/>
          <w:kern w:val="0"/>
          <w:sz w:val="26"/>
          <w:szCs w:val="26"/>
        </w:rPr>
      </w:pPr>
      <w:r w:rsidRPr="007E36F9">
        <w:rPr>
          <w:rFonts w:ascii="黑体" w:eastAsia="黑体" w:hAnsi="黑体" w:cs="宋体" w:hint="eastAsia"/>
          <w:kern w:val="0"/>
          <w:sz w:val="26"/>
          <w:szCs w:val="26"/>
        </w:rPr>
        <w:t>（1）系列基金。又被称为伞型基金，是指多个基金共用一个基金合同,</w:t>
      </w:r>
      <w:proofErr w:type="gramStart"/>
      <w:r w:rsidRPr="007E36F9">
        <w:rPr>
          <w:rFonts w:ascii="黑体" w:eastAsia="黑体" w:hAnsi="黑体" w:cs="宋体" w:hint="eastAsia"/>
          <w:kern w:val="0"/>
          <w:sz w:val="26"/>
          <w:szCs w:val="26"/>
        </w:rPr>
        <w:t>子基金</w:t>
      </w:r>
      <w:proofErr w:type="gramEnd"/>
      <w:r w:rsidRPr="007E36F9">
        <w:rPr>
          <w:rFonts w:ascii="黑体" w:eastAsia="黑体" w:hAnsi="黑体" w:cs="宋体" w:hint="eastAsia"/>
          <w:kern w:val="0"/>
          <w:sz w:val="26"/>
          <w:szCs w:val="26"/>
        </w:rPr>
        <w:t>独立运作,</w:t>
      </w:r>
      <w:proofErr w:type="gramStart"/>
      <w:r w:rsidRPr="007E36F9">
        <w:rPr>
          <w:rFonts w:ascii="黑体" w:eastAsia="黑体" w:hAnsi="黑体" w:cs="宋体" w:hint="eastAsia"/>
          <w:kern w:val="0"/>
          <w:sz w:val="26"/>
          <w:szCs w:val="26"/>
        </w:rPr>
        <w:t>子基金</w:t>
      </w:r>
      <w:proofErr w:type="gramEnd"/>
      <w:r w:rsidRPr="007E36F9">
        <w:rPr>
          <w:rFonts w:ascii="黑体" w:eastAsia="黑体" w:hAnsi="黑体" w:cs="宋体" w:hint="eastAsia"/>
          <w:kern w:val="0"/>
          <w:sz w:val="26"/>
          <w:szCs w:val="26"/>
        </w:rPr>
        <w:t>之间可以进行相互转换的一种基金结构形式。</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（2）保本基金。是指通过采用投资组合保险技术,保证投资者的投资目标是在锁定下跌风险的同时力争有机会获得潜在的高回报。</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（3）交易型开放式指数基金(ETF)与上市开放式基金(LOF)。</w:t>
      </w:r>
      <w:r w:rsidRPr="007E36F9">
        <w:rPr>
          <w:rFonts w:ascii="黑体" w:eastAsia="黑体" w:hAnsi="黑体" w:cs="Times New Roman" w:hint="eastAsia"/>
          <w:sz w:val="26"/>
          <w:szCs w:val="26"/>
        </w:rPr>
        <w:t>交易型开放式指数基金</w:t>
      </w:r>
      <w:r w:rsidRPr="007E36F9">
        <w:rPr>
          <w:rFonts w:ascii="黑体" w:eastAsia="黑体" w:hAnsi="黑体" w:cs="宋体" w:hint="eastAsia"/>
          <w:kern w:val="0"/>
          <w:sz w:val="26"/>
          <w:szCs w:val="26"/>
        </w:rPr>
        <w:t>,通常又被称为交易所交易基金(Exchange Traded Funds,简称“ETF”),是一种在交易所上市交易的、基金份额可变的一种开放式基金。</w:t>
      </w:r>
      <w:r w:rsidRPr="007E36F9">
        <w:rPr>
          <w:rFonts w:ascii="黑体" w:eastAsia="黑体" w:hAnsi="黑体" w:cs="Times New Roman" w:hint="eastAsia"/>
          <w:sz w:val="26"/>
          <w:szCs w:val="26"/>
        </w:rPr>
        <w:t>上市开放式基金</w:t>
      </w:r>
      <w:r w:rsidRPr="007E36F9">
        <w:rPr>
          <w:rFonts w:ascii="黑体" w:eastAsia="黑体" w:hAnsi="黑体" w:cs="Times New Roman" w:hint="eastAsia"/>
          <w:b/>
          <w:sz w:val="26"/>
          <w:szCs w:val="26"/>
        </w:rPr>
        <w:t>(</w:t>
      </w:r>
      <w:r w:rsidRPr="007E36F9">
        <w:rPr>
          <w:rFonts w:ascii="黑体" w:eastAsia="黑体" w:hAnsi="黑体" w:cs="宋体" w:hint="eastAsia"/>
          <w:kern w:val="0"/>
          <w:sz w:val="26"/>
          <w:szCs w:val="26"/>
        </w:rPr>
        <w:t>Listed Open-ended Funds,简称“LOF”)是一种既可以在场外市场进行基金份额申购赎回，又可以在交易所（场内市场）进行基金份额交易、申购或赎回的开放式基金。</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4）QDII基金。是一种以境外证券市场为主要投资区域的证券投资基金，投资者可以用人民币或美元等外汇进行认购和申购，在承担境外市场相应投资风险的同时获取相应的投资收益。QDII基金与普通证券投资基金的最大区别在于投资范围不同。</w:t>
      </w:r>
    </w:p>
    <w:p w:rsidR="00186BE9" w:rsidRPr="007E36F9" w:rsidRDefault="00186BE9" w:rsidP="00186BE9">
      <w:pPr>
        <w:ind w:firstLine="602"/>
        <w:rPr>
          <w:rFonts w:ascii="黑体" w:eastAsia="黑体" w:hAnsi="黑体" w:cs="宋体"/>
          <w:b/>
          <w:kern w:val="0"/>
          <w:sz w:val="28"/>
          <w:szCs w:val="28"/>
        </w:rPr>
      </w:pPr>
      <w:r w:rsidRPr="007E36F9">
        <w:rPr>
          <w:rFonts w:ascii="黑体" w:eastAsia="黑体" w:hAnsi="黑体" w:cs="宋体" w:hint="eastAsia"/>
          <w:b/>
          <w:kern w:val="0"/>
          <w:sz w:val="28"/>
          <w:szCs w:val="28"/>
        </w:rPr>
        <w:t>（四）基金评级</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基金评级是依据一定标准对基金产品进行分析从而做出优劣评价。投资人在投资基金时，可以适当参考基金评级结果，但切不可把基金评级作为选择基金的唯一依据。此外，基金评级是对基金管理人过往的业绩表现做出评价，并不代表基金未来长期业绩的表现。</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本公司将根据销售适用性原则，对基金管理人进行审慎调查，并对基金产品进行风险评价。</w:t>
      </w:r>
    </w:p>
    <w:p w:rsidR="00186BE9" w:rsidRPr="007E36F9" w:rsidRDefault="00186BE9" w:rsidP="00186BE9">
      <w:pPr>
        <w:ind w:firstLine="602"/>
        <w:outlineLvl w:val="0"/>
        <w:rPr>
          <w:rFonts w:ascii="黑体" w:eastAsia="黑体" w:hAnsi="黑体" w:cs="宋体"/>
          <w:b/>
          <w:kern w:val="0"/>
          <w:sz w:val="28"/>
          <w:szCs w:val="28"/>
        </w:rPr>
      </w:pPr>
      <w:r w:rsidRPr="007E36F9">
        <w:rPr>
          <w:rFonts w:ascii="黑体" w:eastAsia="黑体" w:hAnsi="黑体" w:cs="宋体" w:hint="eastAsia"/>
          <w:b/>
          <w:kern w:val="0"/>
          <w:sz w:val="28"/>
          <w:szCs w:val="28"/>
        </w:rPr>
        <w:t>（五）基金费用</w:t>
      </w:r>
    </w:p>
    <w:p w:rsidR="00186BE9" w:rsidRPr="007E36F9" w:rsidRDefault="00186BE9" w:rsidP="00186BE9">
      <w:pPr>
        <w:ind w:firstLine="602"/>
        <w:outlineLvl w:val="0"/>
        <w:rPr>
          <w:rFonts w:ascii="黑体" w:eastAsia="黑体" w:hAnsi="黑体" w:cs="宋体"/>
          <w:kern w:val="0"/>
          <w:sz w:val="26"/>
          <w:szCs w:val="26"/>
        </w:rPr>
      </w:pPr>
      <w:r w:rsidRPr="00C64255">
        <w:rPr>
          <w:rFonts w:ascii="黑体" w:eastAsia="黑体" w:hAnsi="黑体" w:cs="宋体" w:hint="eastAsia"/>
          <w:kern w:val="0"/>
          <w:sz w:val="26"/>
          <w:szCs w:val="26"/>
        </w:rPr>
        <w:t>基金费用一般包括两大类：一类是在基金销售过程中发生的由基金投资人自己承担的费用，主要包括认购费、申购费、赎回费和基金转换费。这些费用一般直接在投资人认购、申购、赎回或转换时收取。其中申购费可在投资人购买基金时收取，即前端申购费；也可在投资人卖出基金时收取，即后端申购费，其费率一般按持有期限递减。另一类是在基金管理过程中发生的费用，主要包括基金管理费、基金托管费、信息披露费等，这些费用由基金承担。对于不收取申购、赎回费的货币市场基金和部分债券基金，还可按不高于2.5‰的比例从基金资产中计提一定的销售服务费。</w:t>
      </w:r>
    </w:p>
    <w:p w:rsidR="00186BE9" w:rsidRPr="007E36F9" w:rsidRDefault="00186BE9" w:rsidP="00186BE9">
      <w:pPr>
        <w:ind w:firstLine="602"/>
        <w:rPr>
          <w:rFonts w:ascii="黑体" w:eastAsia="黑体" w:hAnsi="黑体" w:cs="宋体"/>
          <w:b/>
          <w:kern w:val="0"/>
          <w:sz w:val="28"/>
          <w:szCs w:val="28"/>
        </w:rPr>
      </w:pPr>
      <w:r w:rsidRPr="007E36F9">
        <w:rPr>
          <w:rFonts w:ascii="黑体" w:eastAsia="黑体" w:hAnsi="黑体" w:cs="宋体" w:hint="eastAsia"/>
          <w:b/>
          <w:kern w:val="0"/>
          <w:sz w:val="28"/>
          <w:szCs w:val="28"/>
        </w:rPr>
        <w:t>二、基金份额持有人的权利</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根据《证券投资基金法》第70条的规定，基金份额持有人享有下列权利：</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（一）分享基金财产收益；</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（二）参与分配清算后的剩余基金财产；</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（三）依法转让或申请赎回其持有的基金份额；</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（四）按照规定要求召开基金份额持有人大会；</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（五）对基金份额持有人大会审议事项行使表决权；</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（六）查阅或者复制公开披露的基金信息资料；</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（七）对基金管理人、基金托管人、基金份额发售机构损害其合法权益的行为依法提起诉讼；</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（八）基金合同约定的其它权利。</w:t>
      </w:r>
    </w:p>
    <w:p w:rsidR="00186BE9" w:rsidRPr="007E36F9" w:rsidRDefault="00186BE9" w:rsidP="00186BE9">
      <w:pPr>
        <w:ind w:firstLine="602"/>
        <w:rPr>
          <w:rFonts w:ascii="黑体" w:eastAsia="黑体" w:hAnsi="黑体" w:cs="宋体"/>
          <w:kern w:val="0"/>
          <w:sz w:val="28"/>
          <w:szCs w:val="28"/>
        </w:rPr>
      </w:pPr>
      <w:r w:rsidRPr="007E36F9">
        <w:rPr>
          <w:rFonts w:ascii="黑体" w:eastAsia="黑体" w:hAnsi="黑体" w:cs="宋体" w:hint="eastAsia"/>
          <w:b/>
          <w:kern w:val="0"/>
          <w:sz w:val="28"/>
          <w:szCs w:val="28"/>
        </w:rPr>
        <w:t>三、基金投资风险提示</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一）证券投资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（二）基金在投资运作过程中可能面临各种风险，既包括市场风险，也包括基金自身的管理风险、技术风险和合</w:t>
      </w:r>
      <w:proofErr w:type="gramStart"/>
      <w:r w:rsidRPr="007E36F9">
        <w:rPr>
          <w:rFonts w:ascii="黑体" w:eastAsia="黑体" w:hAnsi="黑体" w:cs="宋体" w:hint="eastAsia"/>
          <w:kern w:val="0"/>
          <w:sz w:val="26"/>
          <w:szCs w:val="26"/>
        </w:rPr>
        <w:t>规</w:t>
      </w:r>
      <w:proofErr w:type="gramEnd"/>
      <w:r w:rsidRPr="007E36F9">
        <w:rPr>
          <w:rFonts w:ascii="黑体" w:eastAsia="黑体" w:hAnsi="黑体" w:cs="宋体" w:hint="eastAsia"/>
          <w:kern w:val="0"/>
          <w:sz w:val="26"/>
          <w:szCs w:val="26"/>
        </w:rPr>
        <w:t>风险等。巨额赎回风险是开放式基金所特有的一种风险，即当单个交易日基金的净赎回申请超过基金总份额的百分之十时，投资人将可能无法及时赎回持有的全部基金份额。</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三）基金投资人应当充分了解基金定期定额投资和零存整取等储蓄方式的区别。定期定额投资是引导投资人进行长期投资、平均投资成本的一种简单易行的投资方式，但并不能规避基金投资所固有的风险，不能保证投资人获得收益，也不是替代储蓄的等效理财方式。</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四）基金管理人承诺以诚实守信、勤勉尽责的原则管理和运用基金资产，但不保证旗下基金一定盈利，也不保证最低收益。旗下基金的过往业绩及其净值高低并不预示其未来业绩表现。基金管理人提醒投资人基金投资的“买者自负”原则，在做出投资决策后，基金运营状况与基金净值变化引致的投资风险，由投资人自行负担。</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（五）本公司将对基金投资人的风险承受能力进行调查和评价，并根据基金投资人的风险承受能力推荐相应的基金品种，但我公司所做的</w:t>
      </w:r>
      <w:proofErr w:type="gramStart"/>
      <w:r w:rsidRPr="007E36F9">
        <w:rPr>
          <w:rFonts w:ascii="黑体" w:eastAsia="黑体" w:hAnsi="黑体" w:cs="宋体" w:hint="eastAsia"/>
          <w:kern w:val="0"/>
          <w:sz w:val="26"/>
          <w:szCs w:val="26"/>
        </w:rPr>
        <w:t>推荐仅</w:t>
      </w:r>
      <w:proofErr w:type="gramEnd"/>
      <w:r w:rsidRPr="007E36F9">
        <w:rPr>
          <w:rFonts w:ascii="黑体" w:eastAsia="黑体" w:hAnsi="黑体" w:cs="宋体" w:hint="eastAsia"/>
          <w:kern w:val="0"/>
          <w:sz w:val="26"/>
          <w:szCs w:val="26"/>
        </w:rPr>
        <w:t>供投资人参考，投资人应根据自身风险承受能力选择基金产品并自行承担投资基金的风险。</w:t>
      </w:r>
    </w:p>
    <w:p w:rsidR="00186BE9" w:rsidRPr="00C64255" w:rsidRDefault="00186BE9" w:rsidP="00186BE9">
      <w:pPr>
        <w:ind w:firstLine="602"/>
        <w:rPr>
          <w:rFonts w:ascii="黑体" w:eastAsia="黑体" w:hAnsi="黑体" w:cs="宋体"/>
          <w:b/>
          <w:kern w:val="0"/>
          <w:sz w:val="28"/>
          <w:szCs w:val="28"/>
        </w:rPr>
      </w:pPr>
      <w:r w:rsidRPr="00C64255">
        <w:rPr>
          <w:rFonts w:ascii="黑体" w:eastAsia="黑体" w:hAnsi="黑体" w:cs="宋体" w:hint="eastAsia"/>
          <w:b/>
          <w:kern w:val="0"/>
          <w:sz w:val="28"/>
          <w:szCs w:val="28"/>
        </w:rPr>
        <w:t>四、服务内容和收费方式</w:t>
      </w:r>
    </w:p>
    <w:p w:rsidR="00186BE9" w:rsidRPr="00C64255" w:rsidRDefault="00186BE9" w:rsidP="00186BE9">
      <w:pPr>
        <w:ind w:firstLine="602"/>
        <w:rPr>
          <w:rFonts w:ascii="黑体" w:eastAsia="黑体" w:hAnsi="黑体" w:cs="宋体"/>
          <w:kern w:val="0"/>
          <w:sz w:val="26"/>
          <w:szCs w:val="26"/>
        </w:rPr>
      </w:pPr>
      <w:r w:rsidRPr="00C64255">
        <w:rPr>
          <w:rFonts w:ascii="黑体" w:eastAsia="黑体" w:hAnsi="黑体" w:cs="宋体" w:hint="eastAsia"/>
          <w:kern w:val="0"/>
          <w:sz w:val="26"/>
          <w:szCs w:val="26"/>
        </w:rPr>
        <w:t>我公司向基金投资人提供以下服务：</w:t>
      </w:r>
    </w:p>
    <w:p w:rsidR="00186BE9" w:rsidRPr="00C64255" w:rsidRDefault="00186BE9" w:rsidP="00186BE9">
      <w:pPr>
        <w:ind w:firstLine="602"/>
        <w:rPr>
          <w:rFonts w:ascii="黑体" w:eastAsia="黑体" w:hAnsi="黑体" w:cs="宋体"/>
          <w:kern w:val="0"/>
          <w:sz w:val="26"/>
          <w:szCs w:val="26"/>
        </w:rPr>
      </w:pPr>
      <w:r w:rsidRPr="00C64255">
        <w:rPr>
          <w:rFonts w:ascii="黑体" w:eastAsia="黑体" w:hAnsi="黑体" w:cs="宋体" w:hint="eastAsia"/>
          <w:kern w:val="0"/>
          <w:sz w:val="26"/>
          <w:szCs w:val="26"/>
        </w:rPr>
        <w:t>（一）对基金投资人的风险承受能力进行调查和评价。</w:t>
      </w:r>
    </w:p>
    <w:p w:rsidR="00186BE9" w:rsidRPr="007E36F9" w:rsidRDefault="00186BE9" w:rsidP="00186BE9">
      <w:pPr>
        <w:ind w:firstLine="602"/>
        <w:rPr>
          <w:rFonts w:ascii="黑体" w:eastAsia="黑体" w:hAnsi="黑体" w:cs="宋体"/>
          <w:kern w:val="0"/>
          <w:sz w:val="26"/>
          <w:szCs w:val="26"/>
        </w:rPr>
      </w:pPr>
      <w:r w:rsidRPr="00C64255">
        <w:rPr>
          <w:rFonts w:ascii="黑体" w:eastAsia="黑体" w:hAnsi="黑体" w:cs="宋体" w:hint="eastAsia"/>
          <w:kern w:val="0"/>
          <w:sz w:val="26"/>
          <w:szCs w:val="26"/>
        </w:rPr>
        <w:t>（二）基金销售业务，包括基金（资金）账户开户、基金申（认）购、基金赎回、基金转换、修改基金分红方式等。我公司根据每只基金的发行公告及基金管理公司发布的其它相关公告收取相应的申（认）购、赎回费和转换费。</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（三）基金网上交易服务。</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（四）电话咨询、电话自助交易服务。</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（五）基金知识普及和风险教育。</w:t>
      </w:r>
    </w:p>
    <w:p w:rsidR="00186BE9" w:rsidRPr="007E36F9" w:rsidRDefault="00186BE9" w:rsidP="00186BE9">
      <w:pPr>
        <w:ind w:firstLine="602"/>
        <w:rPr>
          <w:rFonts w:ascii="黑体" w:eastAsia="黑体" w:hAnsi="黑体" w:cs="宋体"/>
          <w:b/>
          <w:kern w:val="0"/>
          <w:sz w:val="28"/>
          <w:szCs w:val="28"/>
        </w:rPr>
      </w:pPr>
      <w:r w:rsidRPr="007E36F9">
        <w:rPr>
          <w:rFonts w:ascii="黑体" w:eastAsia="黑体" w:hAnsi="黑体" w:cs="宋体" w:hint="eastAsia"/>
          <w:b/>
          <w:kern w:val="0"/>
          <w:sz w:val="28"/>
          <w:szCs w:val="28"/>
        </w:rPr>
        <w:t>五、基金交易业务流程</w:t>
      </w:r>
    </w:p>
    <w:p w:rsidR="00186BE9" w:rsidRDefault="00186BE9" w:rsidP="00186BE9">
      <w:pPr>
        <w:spacing w:line="360" w:lineRule="auto"/>
        <w:ind w:firstLine="480"/>
        <w:rPr>
          <w:rFonts w:ascii="黑体" w:eastAsia="黑体" w:hAnsi="黑体" w:cs="Times New Roman"/>
          <w:sz w:val="26"/>
          <w:szCs w:val="26"/>
        </w:rPr>
      </w:pPr>
      <w:r w:rsidRPr="007E36F9">
        <w:rPr>
          <w:rFonts w:ascii="黑体" w:eastAsia="黑体" w:hAnsi="黑体" w:cs="Times New Roman" w:hint="eastAsia"/>
          <w:sz w:val="26"/>
          <w:szCs w:val="26"/>
        </w:rPr>
        <w:t>（一）开立资金</w:t>
      </w:r>
      <w:proofErr w:type="gramStart"/>
      <w:r w:rsidRPr="007E36F9">
        <w:rPr>
          <w:rFonts w:ascii="黑体" w:eastAsia="黑体" w:hAnsi="黑体" w:cs="Times New Roman" w:hint="eastAsia"/>
          <w:sz w:val="26"/>
          <w:szCs w:val="26"/>
        </w:rPr>
        <w:t>帐户</w:t>
      </w:r>
      <w:proofErr w:type="gramEnd"/>
    </w:p>
    <w:p w:rsidR="0026096A" w:rsidRDefault="0026096A" w:rsidP="00186BE9">
      <w:pPr>
        <w:spacing w:line="360" w:lineRule="auto"/>
        <w:ind w:firstLine="480"/>
        <w:rPr>
          <w:rFonts w:ascii="黑体" w:eastAsia="黑体" w:hAnsi="黑体" w:cs="Times New Roman"/>
          <w:sz w:val="26"/>
          <w:szCs w:val="26"/>
        </w:rPr>
      </w:pPr>
      <w:r>
        <w:rPr>
          <w:rFonts w:ascii="黑体" w:eastAsia="黑体" w:hAnsi="黑体" w:cs="Times New Roman" w:hint="eastAsia"/>
          <w:sz w:val="26"/>
          <w:szCs w:val="26"/>
        </w:rPr>
        <w:t xml:space="preserve">  1、个人投资者可通过网上开户系统开立资金账户，也可到我公司营业部现场开立资金账户。采用临柜方式开户须</w:t>
      </w:r>
      <w:r w:rsidR="00C711D4">
        <w:rPr>
          <w:rFonts w:ascii="黑体" w:eastAsia="黑体" w:hAnsi="黑体" w:cs="Times New Roman" w:hint="eastAsia"/>
          <w:sz w:val="26"/>
          <w:szCs w:val="26"/>
        </w:rPr>
        <w:t>投资者本人</w:t>
      </w:r>
      <w:r>
        <w:rPr>
          <w:rFonts w:ascii="黑体" w:eastAsia="黑体" w:hAnsi="黑体" w:cs="Times New Roman" w:hint="eastAsia"/>
          <w:sz w:val="26"/>
          <w:szCs w:val="26"/>
        </w:rPr>
        <w:t>向我公司营业部提交有效身份证明和相关材料。</w:t>
      </w:r>
    </w:p>
    <w:p w:rsidR="000344C1" w:rsidRPr="000344C1" w:rsidRDefault="000344C1" w:rsidP="000344C1">
      <w:pPr>
        <w:spacing w:line="360" w:lineRule="auto"/>
        <w:ind w:firstLine="480"/>
        <w:rPr>
          <w:rFonts w:ascii="黑体" w:eastAsia="黑体" w:hAnsi="黑体" w:cs="Times New Roman"/>
          <w:sz w:val="26"/>
          <w:szCs w:val="26"/>
        </w:rPr>
      </w:pPr>
      <w:r w:rsidRPr="000344C1">
        <w:rPr>
          <w:rFonts w:ascii="黑体" w:eastAsia="黑体" w:hAnsi="黑体" w:cs="Times New Roman" w:hint="eastAsia"/>
          <w:sz w:val="26"/>
          <w:szCs w:val="26"/>
        </w:rPr>
        <w:t>个人投资者需提交如下材料：</w:t>
      </w:r>
    </w:p>
    <w:p w:rsidR="000344C1" w:rsidRPr="000344C1" w:rsidRDefault="000344C1" w:rsidP="000344C1">
      <w:pPr>
        <w:numPr>
          <w:ilvl w:val="0"/>
          <w:numId w:val="1"/>
        </w:numPr>
        <w:spacing w:line="360" w:lineRule="auto"/>
        <w:rPr>
          <w:rFonts w:ascii="黑体" w:eastAsia="黑体" w:hAnsi="黑体" w:cs="Times New Roman"/>
          <w:sz w:val="26"/>
          <w:szCs w:val="26"/>
        </w:rPr>
      </w:pPr>
      <w:r w:rsidRPr="000344C1">
        <w:rPr>
          <w:rFonts w:ascii="黑体" w:eastAsia="黑体" w:hAnsi="黑体" w:cs="Times New Roman" w:hint="eastAsia"/>
          <w:sz w:val="26"/>
          <w:szCs w:val="26"/>
        </w:rPr>
        <w:t>个人有效身份证件及复印件</w:t>
      </w:r>
    </w:p>
    <w:p w:rsidR="000344C1" w:rsidRPr="0026096A" w:rsidRDefault="000344C1" w:rsidP="0026096A">
      <w:pPr>
        <w:pStyle w:val="a5"/>
        <w:numPr>
          <w:ilvl w:val="0"/>
          <w:numId w:val="1"/>
        </w:numPr>
        <w:spacing w:line="360" w:lineRule="auto"/>
        <w:ind w:firstLineChars="0"/>
        <w:rPr>
          <w:rFonts w:ascii="黑体" w:eastAsia="黑体" w:hAnsi="黑体" w:cs="Times New Roman"/>
          <w:sz w:val="26"/>
          <w:szCs w:val="26"/>
        </w:rPr>
      </w:pPr>
      <w:r w:rsidRPr="0026096A">
        <w:rPr>
          <w:rFonts w:ascii="黑体" w:eastAsia="黑体" w:hAnsi="黑体" w:cs="Times New Roman" w:hint="eastAsia"/>
          <w:sz w:val="26"/>
          <w:szCs w:val="26"/>
        </w:rPr>
        <w:t>其他材料</w:t>
      </w:r>
    </w:p>
    <w:p w:rsidR="00186BE9" w:rsidRPr="007E36F9" w:rsidRDefault="0026096A" w:rsidP="0026096A">
      <w:pPr>
        <w:spacing w:line="360" w:lineRule="auto"/>
        <w:ind w:firstLineChars="200" w:firstLine="520"/>
        <w:rPr>
          <w:rFonts w:ascii="黑体" w:eastAsia="黑体" w:hAnsi="黑体" w:cs="Times New Roman"/>
          <w:sz w:val="26"/>
          <w:szCs w:val="26"/>
        </w:rPr>
      </w:pPr>
      <w:r>
        <w:rPr>
          <w:rFonts w:ascii="黑体" w:eastAsia="黑体" w:hAnsi="黑体" w:cs="Times New Roman" w:hint="eastAsia"/>
          <w:sz w:val="26"/>
          <w:szCs w:val="26"/>
        </w:rPr>
        <w:t>2、</w:t>
      </w:r>
      <w:r w:rsidR="000344C1">
        <w:rPr>
          <w:rFonts w:ascii="黑体" w:eastAsia="黑体" w:hAnsi="黑体" w:cs="Times New Roman" w:hint="eastAsia"/>
          <w:sz w:val="26"/>
          <w:szCs w:val="26"/>
        </w:rPr>
        <w:t>机构</w:t>
      </w:r>
      <w:r w:rsidR="00186BE9" w:rsidRPr="007E36F9">
        <w:rPr>
          <w:rFonts w:ascii="黑体" w:eastAsia="黑体" w:hAnsi="黑体" w:cs="Times New Roman" w:hint="eastAsia"/>
          <w:sz w:val="26"/>
          <w:szCs w:val="26"/>
        </w:rPr>
        <w:t>投资者首先需到我公司营业部现场开立资金账户，向我公司营业部提交有效身份证明和相关资料。</w:t>
      </w:r>
    </w:p>
    <w:p w:rsidR="00186BE9" w:rsidRPr="007E36F9" w:rsidRDefault="00186BE9" w:rsidP="000344C1">
      <w:pPr>
        <w:spacing w:line="360" w:lineRule="auto"/>
        <w:ind w:firstLineChars="350" w:firstLine="910"/>
        <w:rPr>
          <w:rFonts w:ascii="黑体" w:eastAsia="黑体" w:hAnsi="黑体" w:cs="Times New Roman"/>
          <w:sz w:val="26"/>
          <w:szCs w:val="26"/>
        </w:rPr>
      </w:pPr>
      <w:r w:rsidRPr="007E36F9">
        <w:rPr>
          <w:rFonts w:ascii="黑体" w:eastAsia="黑体" w:hAnsi="黑体" w:cs="Times New Roman" w:hint="eastAsia"/>
          <w:sz w:val="26"/>
          <w:szCs w:val="26"/>
        </w:rPr>
        <w:t>机构投资者需提交如下材料：</w:t>
      </w:r>
    </w:p>
    <w:p w:rsidR="00186BE9" w:rsidRPr="007E36F9" w:rsidRDefault="00186BE9" w:rsidP="00186BE9">
      <w:pPr>
        <w:spacing w:line="360" w:lineRule="auto"/>
        <w:ind w:leftChars="428" w:left="899"/>
        <w:rPr>
          <w:rFonts w:ascii="黑体" w:eastAsia="黑体" w:hAnsi="黑体" w:cs="Times New Roman"/>
          <w:sz w:val="26"/>
          <w:szCs w:val="26"/>
        </w:rPr>
      </w:pPr>
      <w:r w:rsidRPr="007E36F9">
        <w:rPr>
          <w:rFonts w:ascii="黑体" w:eastAsia="黑体" w:hAnsi="黑体" w:cs="Times New Roman" w:hint="eastAsia"/>
          <w:sz w:val="26"/>
          <w:szCs w:val="26"/>
        </w:rPr>
        <w:t>① 企业营业执照副本原件及复印件（加盖公章）或有效注册登记证书副本原件及复印件（加盖公章）</w:t>
      </w:r>
    </w:p>
    <w:p w:rsidR="00186BE9" w:rsidRPr="007E36F9" w:rsidRDefault="00186BE9" w:rsidP="00186BE9">
      <w:pPr>
        <w:spacing w:line="360" w:lineRule="auto"/>
        <w:ind w:leftChars="428" w:left="899"/>
        <w:rPr>
          <w:rFonts w:ascii="黑体" w:eastAsia="黑体" w:hAnsi="黑体" w:cs="Times New Roman"/>
          <w:sz w:val="26"/>
          <w:szCs w:val="26"/>
        </w:rPr>
      </w:pPr>
      <w:r w:rsidRPr="007E36F9">
        <w:rPr>
          <w:rFonts w:ascii="黑体" w:eastAsia="黑体" w:hAnsi="黑体" w:cs="Times New Roman" w:hint="eastAsia"/>
          <w:sz w:val="26"/>
          <w:szCs w:val="26"/>
        </w:rPr>
        <w:t>② 法定代表人身份证，法定代表人证明书（加盖公章）</w:t>
      </w:r>
    </w:p>
    <w:p w:rsidR="00186BE9" w:rsidRPr="007E36F9" w:rsidRDefault="00186BE9" w:rsidP="00186BE9">
      <w:pPr>
        <w:numPr>
          <w:ilvl w:val="0"/>
          <w:numId w:val="1"/>
        </w:numPr>
        <w:tabs>
          <w:tab w:val="left" w:pos="1070"/>
        </w:tabs>
        <w:spacing w:line="360" w:lineRule="auto"/>
        <w:ind w:leftChars="428" w:left="1259"/>
        <w:rPr>
          <w:rFonts w:ascii="黑体" w:eastAsia="黑体" w:hAnsi="黑体" w:cs="Times New Roman"/>
          <w:sz w:val="26"/>
          <w:szCs w:val="26"/>
        </w:rPr>
      </w:pPr>
      <w:r w:rsidRPr="007E36F9">
        <w:rPr>
          <w:rFonts w:ascii="黑体" w:eastAsia="黑体" w:hAnsi="黑体" w:cs="Times New Roman" w:hint="eastAsia"/>
          <w:sz w:val="26"/>
          <w:szCs w:val="26"/>
        </w:rPr>
        <w:t>法人授权委托书，加盖公章，并由法定代表人签字或盖章</w:t>
      </w:r>
    </w:p>
    <w:p w:rsidR="00186BE9" w:rsidRPr="007E36F9" w:rsidRDefault="00186BE9" w:rsidP="00186BE9">
      <w:pPr>
        <w:numPr>
          <w:ilvl w:val="0"/>
          <w:numId w:val="1"/>
        </w:numPr>
        <w:tabs>
          <w:tab w:val="left" w:pos="1070"/>
        </w:tabs>
        <w:spacing w:line="360" w:lineRule="auto"/>
        <w:ind w:leftChars="428" w:left="1259"/>
        <w:rPr>
          <w:rFonts w:ascii="黑体" w:eastAsia="黑体" w:hAnsi="黑体" w:cs="Times New Roman"/>
          <w:sz w:val="26"/>
          <w:szCs w:val="26"/>
        </w:rPr>
      </w:pPr>
      <w:r w:rsidRPr="007E36F9">
        <w:rPr>
          <w:rFonts w:ascii="黑体" w:eastAsia="黑体" w:hAnsi="黑体" w:cs="Times New Roman" w:hint="eastAsia"/>
          <w:sz w:val="26"/>
          <w:szCs w:val="26"/>
        </w:rPr>
        <w:t>经办人有效身份证件及复印件</w:t>
      </w:r>
    </w:p>
    <w:p w:rsidR="00186BE9" w:rsidRPr="007E36F9" w:rsidRDefault="00186BE9" w:rsidP="00186BE9">
      <w:pPr>
        <w:numPr>
          <w:ilvl w:val="0"/>
          <w:numId w:val="1"/>
        </w:numPr>
        <w:tabs>
          <w:tab w:val="left" w:pos="1070"/>
        </w:tabs>
        <w:spacing w:line="360" w:lineRule="auto"/>
        <w:ind w:leftChars="428" w:left="1259"/>
        <w:rPr>
          <w:rFonts w:ascii="黑体" w:eastAsia="黑体" w:hAnsi="黑体" w:cs="Times New Roman"/>
          <w:sz w:val="26"/>
          <w:szCs w:val="26"/>
        </w:rPr>
      </w:pPr>
      <w:r w:rsidRPr="007E36F9">
        <w:rPr>
          <w:rFonts w:ascii="黑体" w:eastAsia="黑体" w:hAnsi="黑体" w:cs="Times New Roman" w:hint="eastAsia"/>
          <w:sz w:val="26"/>
          <w:szCs w:val="26"/>
        </w:rPr>
        <w:t>其他材料</w:t>
      </w:r>
    </w:p>
    <w:p w:rsidR="00186BE9" w:rsidRPr="007E36F9" w:rsidRDefault="00186BE9" w:rsidP="00186BE9">
      <w:pPr>
        <w:spacing w:line="360" w:lineRule="auto"/>
        <w:ind w:firstLine="480"/>
        <w:rPr>
          <w:rFonts w:ascii="黑体" w:eastAsia="黑体" w:hAnsi="黑体" w:cs="Times New Roman"/>
          <w:sz w:val="26"/>
          <w:szCs w:val="26"/>
        </w:rPr>
      </w:pPr>
      <w:r w:rsidRPr="007E36F9">
        <w:rPr>
          <w:rFonts w:ascii="黑体" w:eastAsia="黑体" w:hAnsi="黑体" w:cs="Times New Roman" w:hint="eastAsia"/>
          <w:sz w:val="26"/>
          <w:szCs w:val="26"/>
        </w:rPr>
        <w:t>（二）开立基金账户</w:t>
      </w:r>
      <w:r w:rsidR="00712B40">
        <w:rPr>
          <w:rFonts w:ascii="黑体" w:eastAsia="黑体" w:hAnsi="黑体" w:cs="Times New Roman" w:hint="eastAsia"/>
          <w:sz w:val="26"/>
          <w:szCs w:val="26"/>
        </w:rPr>
        <w:t xml:space="preserve"> </w:t>
      </w:r>
    </w:p>
    <w:p w:rsidR="00186BE9" w:rsidRPr="007E36F9" w:rsidRDefault="00BC31E2" w:rsidP="00186BE9">
      <w:pPr>
        <w:tabs>
          <w:tab w:val="left" w:pos="1260"/>
        </w:tabs>
        <w:spacing w:line="360" w:lineRule="auto"/>
        <w:ind w:firstLineChars="236" w:firstLine="614"/>
        <w:rPr>
          <w:rFonts w:ascii="黑体" w:eastAsia="黑体" w:hAnsi="黑体" w:cs="Times New Roman"/>
          <w:sz w:val="26"/>
          <w:szCs w:val="26"/>
        </w:rPr>
      </w:pPr>
      <w:r>
        <w:rPr>
          <w:rFonts w:ascii="黑体" w:eastAsia="黑体" w:hAnsi="黑体" w:cs="Times New Roman" w:hint="eastAsia"/>
          <w:sz w:val="26"/>
          <w:szCs w:val="26"/>
        </w:rPr>
        <w:t>个人投资者</w:t>
      </w:r>
      <w:r w:rsidR="0026096A">
        <w:rPr>
          <w:rFonts w:ascii="黑体" w:eastAsia="黑体" w:hAnsi="黑体" w:cs="Times New Roman" w:hint="eastAsia"/>
          <w:sz w:val="26"/>
          <w:szCs w:val="26"/>
        </w:rPr>
        <w:t>基金账户开户可到</w:t>
      </w:r>
      <w:r w:rsidR="00186BE9" w:rsidRPr="007E36F9">
        <w:rPr>
          <w:rFonts w:ascii="黑体" w:eastAsia="黑体" w:hAnsi="黑体" w:cs="Times New Roman" w:hint="eastAsia"/>
          <w:sz w:val="26"/>
          <w:szCs w:val="26"/>
        </w:rPr>
        <w:t>我公司营业部现场进行，也可采用网上</w:t>
      </w:r>
      <w:r w:rsidR="0026096A">
        <w:rPr>
          <w:rFonts w:ascii="黑体" w:eastAsia="黑体" w:hAnsi="黑体" w:cs="Times New Roman" w:hint="eastAsia"/>
          <w:sz w:val="26"/>
          <w:szCs w:val="26"/>
        </w:rPr>
        <w:t>开户</w:t>
      </w:r>
      <w:r w:rsidR="00186BE9" w:rsidRPr="007E36F9">
        <w:rPr>
          <w:rFonts w:ascii="黑体" w:eastAsia="黑体" w:hAnsi="黑体" w:cs="Times New Roman" w:hint="eastAsia"/>
          <w:sz w:val="26"/>
          <w:szCs w:val="26"/>
        </w:rPr>
        <w:t>的</w:t>
      </w:r>
      <w:r w:rsidR="0026096A">
        <w:rPr>
          <w:rFonts w:ascii="黑体" w:eastAsia="黑体" w:hAnsi="黑体" w:cs="Times New Roman" w:hint="eastAsia"/>
          <w:sz w:val="26"/>
          <w:szCs w:val="26"/>
        </w:rPr>
        <w:t>非现场</w:t>
      </w:r>
      <w:r w:rsidR="00186BE9" w:rsidRPr="007E36F9">
        <w:rPr>
          <w:rFonts w:ascii="黑体" w:eastAsia="黑体" w:hAnsi="黑体" w:cs="Times New Roman" w:hint="eastAsia"/>
          <w:sz w:val="26"/>
          <w:szCs w:val="26"/>
        </w:rPr>
        <w:t>方式。到我公司营业部现场开立基金账户需提供有效身份证明及复印件，填写开户申请表，并阅读《民生证券股份有限公司证券投资基金投资人权益须知》和《风险提示书》。</w:t>
      </w:r>
    </w:p>
    <w:p w:rsidR="00186BE9" w:rsidRPr="007E36F9" w:rsidRDefault="00186BE9" w:rsidP="00186BE9">
      <w:pPr>
        <w:spacing w:line="360" w:lineRule="auto"/>
        <w:ind w:firstLine="480"/>
        <w:rPr>
          <w:rFonts w:ascii="黑体" w:eastAsia="黑体" w:hAnsi="黑体" w:cs="Times New Roman"/>
          <w:sz w:val="26"/>
          <w:szCs w:val="26"/>
        </w:rPr>
      </w:pPr>
      <w:r w:rsidRPr="007E36F9">
        <w:rPr>
          <w:rFonts w:ascii="黑体" w:eastAsia="黑体" w:hAnsi="黑体" w:cs="Times New Roman" w:hint="eastAsia"/>
          <w:sz w:val="26"/>
          <w:szCs w:val="26"/>
        </w:rPr>
        <w:t>（三）基金账户销户</w:t>
      </w:r>
    </w:p>
    <w:p w:rsidR="00186BE9" w:rsidRPr="007E36F9" w:rsidRDefault="00C711D4" w:rsidP="00C711D4">
      <w:pPr>
        <w:spacing w:line="360" w:lineRule="auto"/>
        <w:ind w:firstLine="480"/>
        <w:rPr>
          <w:rFonts w:ascii="黑体" w:eastAsia="黑体" w:hAnsi="黑体" w:cs="Times New Roman"/>
          <w:sz w:val="26"/>
          <w:szCs w:val="26"/>
        </w:rPr>
      </w:pPr>
      <w:r>
        <w:rPr>
          <w:rFonts w:ascii="黑体" w:eastAsia="黑体" w:hAnsi="黑体" w:cs="Times New Roman" w:hint="eastAsia"/>
          <w:sz w:val="26"/>
          <w:szCs w:val="26"/>
        </w:rPr>
        <w:t>投资者需持有效身份证明</w:t>
      </w:r>
      <w:r w:rsidR="00186BE9" w:rsidRPr="007E36F9">
        <w:rPr>
          <w:rFonts w:ascii="黑体" w:eastAsia="黑体" w:hAnsi="黑体" w:cs="Times New Roman" w:hint="eastAsia"/>
          <w:sz w:val="26"/>
          <w:szCs w:val="26"/>
        </w:rPr>
        <w:t>到我公司营业部基金柜台办理手续。个人投资者需本人亲自办理。投资者申请注销基金账户的条件包括：投资者基金账户份额为0，账户状态正常，无在途权益，当日无交易申请。</w:t>
      </w:r>
    </w:p>
    <w:p w:rsidR="00186BE9" w:rsidRPr="007E36F9" w:rsidRDefault="00BC31E2" w:rsidP="00186BE9">
      <w:pPr>
        <w:spacing w:line="360" w:lineRule="auto"/>
        <w:ind w:firstLine="480"/>
        <w:rPr>
          <w:rFonts w:ascii="黑体" w:eastAsia="黑体" w:hAnsi="黑体" w:cs="Times New Roman"/>
          <w:sz w:val="26"/>
          <w:szCs w:val="26"/>
        </w:rPr>
      </w:pPr>
      <w:r>
        <w:rPr>
          <w:rFonts w:ascii="黑体" w:eastAsia="黑体" w:hAnsi="黑体" w:cs="Times New Roman" w:hint="eastAsia"/>
          <w:sz w:val="26"/>
          <w:szCs w:val="26"/>
        </w:rPr>
        <w:t>（四</w:t>
      </w:r>
      <w:r w:rsidR="00186BE9" w:rsidRPr="007E36F9">
        <w:rPr>
          <w:rFonts w:ascii="黑体" w:eastAsia="黑体" w:hAnsi="黑体" w:cs="Times New Roman" w:hint="eastAsia"/>
          <w:sz w:val="26"/>
          <w:szCs w:val="26"/>
        </w:rPr>
        <w:t>）基金认购、申购、赎回、基金转换、基金交易撤单、设置分红方式</w:t>
      </w:r>
    </w:p>
    <w:p w:rsidR="00186BE9" w:rsidRPr="007E36F9" w:rsidRDefault="00C711D4" w:rsidP="00C711D4">
      <w:pPr>
        <w:spacing w:line="360" w:lineRule="auto"/>
        <w:ind w:firstLine="480"/>
        <w:rPr>
          <w:rFonts w:ascii="黑体" w:eastAsia="黑体" w:hAnsi="黑体" w:cs="Times New Roman"/>
          <w:sz w:val="26"/>
          <w:szCs w:val="26"/>
        </w:rPr>
      </w:pPr>
      <w:r>
        <w:rPr>
          <w:rFonts w:ascii="黑体" w:eastAsia="黑体" w:hAnsi="黑体" w:cs="Times New Roman" w:hint="eastAsia"/>
          <w:sz w:val="26"/>
          <w:szCs w:val="26"/>
        </w:rPr>
        <w:t>投资者可持有效身份证明到我公司营业部</w:t>
      </w:r>
      <w:r w:rsidR="00186BE9" w:rsidRPr="007E36F9">
        <w:rPr>
          <w:rFonts w:ascii="黑体" w:eastAsia="黑体" w:hAnsi="黑体" w:cs="Times New Roman" w:hint="eastAsia"/>
          <w:sz w:val="26"/>
          <w:szCs w:val="26"/>
        </w:rPr>
        <w:t>柜台办理，或选择采用网上交易等其他委托方式。</w:t>
      </w:r>
    </w:p>
    <w:p w:rsidR="00C711D4" w:rsidRDefault="00BC31E2" w:rsidP="00186BE9">
      <w:pPr>
        <w:ind w:firstLineChars="200" w:firstLine="520"/>
        <w:rPr>
          <w:rFonts w:ascii="黑体" w:eastAsia="黑体" w:hAnsi="黑体" w:cs="Times New Roman"/>
          <w:sz w:val="26"/>
          <w:szCs w:val="26"/>
        </w:rPr>
      </w:pPr>
      <w:r>
        <w:rPr>
          <w:rFonts w:ascii="黑体" w:eastAsia="黑体" w:hAnsi="黑体" w:cs="Times New Roman" w:hint="eastAsia"/>
          <w:sz w:val="26"/>
          <w:szCs w:val="26"/>
        </w:rPr>
        <w:t>（五</w:t>
      </w:r>
      <w:r w:rsidR="00186BE9" w:rsidRPr="007E36F9">
        <w:rPr>
          <w:rFonts w:ascii="黑体" w:eastAsia="黑体" w:hAnsi="黑体" w:cs="Times New Roman" w:hint="eastAsia"/>
          <w:sz w:val="26"/>
          <w:szCs w:val="26"/>
        </w:rPr>
        <w:t>）</w:t>
      </w:r>
      <w:r w:rsidR="00C711D4">
        <w:rPr>
          <w:rFonts w:ascii="黑体" w:eastAsia="黑体" w:hAnsi="黑体" w:cs="Times New Roman" w:hint="eastAsia"/>
          <w:sz w:val="26"/>
          <w:szCs w:val="26"/>
        </w:rPr>
        <w:t>其他业务</w:t>
      </w:r>
    </w:p>
    <w:p w:rsidR="00186BE9" w:rsidRPr="007E36F9" w:rsidRDefault="00186BE9" w:rsidP="00C711D4">
      <w:pPr>
        <w:ind w:firstLineChars="200" w:firstLine="520"/>
        <w:rPr>
          <w:rFonts w:ascii="黑体" w:eastAsia="黑体" w:hAnsi="黑体" w:cs="Times New Roman"/>
          <w:sz w:val="26"/>
          <w:szCs w:val="26"/>
        </w:rPr>
      </w:pPr>
      <w:r w:rsidRPr="007E36F9">
        <w:rPr>
          <w:rFonts w:ascii="黑体" w:eastAsia="黑体" w:hAnsi="黑体" w:cs="Times New Roman" w:hint="eastAsia"/>
          <w:sz w:val="26"/>
          <w:szCs w:val="26"/>
        </w:rPr>
        <w:t>客户资料变更、</w:t>
      </w:r>
      <w:r w:rsidR="00C711D4">
        <w:rPr>
          <w:rFonts w:ascii="黑体" w:eastAsia="黑体" w:hAnsi="黑体" w:cs="Times New Roman" w:hint="eastAsia"/>
          <w:sz w:val="26"/>
          <w:szCs w:val="26"/>
        </w:rPr>
        <w:t>基金</w:t>
      </w:r>
      <w:r w:rsidRPr="007E36F9">
        <w:rPr>
          <w:rFonts w:ascii="黑体" w:eastAsia="黑体" w:hAnsi="黑体" w:cs="Times New Roman" w:hint="eastAsia"/>
          <w:sz w:val="26"/>
          <w:szCs w:val="26"/>
        </w:rPr>
        <w:t>转托管</w:t>
      </w:r>
      <w:r w:rsidR="00C711D4">
        <w:rPr>
          <w:rFonts w:ascii="黑体" w:eastAsia="黑体" w:hAnsi="黑体" w:cs="Times New Roman" w:hint="eastAsia"/>
          <w:sz w:val="26"/>
          <w:szCs w:val="26"/>
        </w:rPr>
        <w:t>等其他业务办理，需投资者本人持有效身份证明到我公司营业部</w:t>
      </w:r>
      <w:r w:rsidRPr="007E36F9">
        <w:rPr>
          <w:rFonts w:ascii="黑体" w:eastAsia="黑体" w:hAnsi="黑体" w:cs="Times New Roman" w:hint="eastAsia"/>
          <w:sz w:val="26"/>
          <w:szCs w:val="26"/>
        </w:rPr>
        <w:t>柜台办理</w:t>
      </w:r>
      <w:r w:rsidR="00C711D4">
        <w:rPr>
          <w:rFonts w:ascii="黑体" w:eastAsia="黑体" w:hAnsi="黑体" w:cs="Times New Roman" w:hint="eastAsia"/>
          <w:sz w:val="26"/>
          <w:szCs w:val="26"/>
        </w:rPr>
        <w:t>相关</w:t>
      </w:r>
      <w:r w:rsidRPr="007E36F9">
        <w:rPr>
          <w:rFonts w:ascii="黑体" w:eastAsia="黑体" w:hAnsi="黑体" w:cs="Times New Roman" w:hint="eastAsia"/>
          <w:sz w:val="26"/>
          <w:szCs w:val="26"/>
        </w:rPr>
        <w:t>手续。</w:t>
      </w:r>
    </w:p>
    <w:p w:rsidR="00186BE9" w:rsidRPr="007E36F9" w:rsidRDefault="00186BE9" w:rsidP="00186BE9">
      <w:pPr>
        <w:ind w:firstLine="602"/>
        <w:rPr>
          <w:rFonts w:ascii="黑体" w:eastAsia="黑体" w:hAnsi="黑体" w:cs="宋体"/>
          <w:b/>
          <w:kern w:val="0"/>
          <w:sz w:val="28"/>
          <w:szCs w:val="28"/>
        </w:rPr>
      </w:pPr>
      <w:r w:rsidRPr="007E36F9">
        <w:rPr>
          <w:rFonts w:ascii="黑体" w:eastAsia="黑体" w:hAnsi="黑体" w:cs="宋体" w:hint="eastAsia"/>
          <w:b/>
          <w:kern w:val="0"/>
          <w:sz w:val="28"/>
          <w:szCs w:val="28"/>
        </w:rPr>
        <w:t>六、投诉处理和联系方式</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基金投资人可以通过拨打我公司客户服务中心电话或以书信、传真、电子邮件等方式，对我公司营业部所提供的服务提出建议或投诉。对于工作日受理的投诉，原则上当日回复，不能当日回复的，在3个工作日内回复。对于非工作日受理的投诉，原则上在顺延的第一个工作日回复，不能及时回复的，在3个工作日内回复。</w:t>
      </w:r>
    </w:p>
    <w:p w:rsidR="00186BE9" w:rsidRPr="007E36F9" w:rsidRDefault="00186BE9" w:rsidP="00186BE9">
      <w:pPr>
        <w:ind w:firstLine="602"/>
        <w:rPr>
          <w:rFonts w:ascii="黑体" w:eastAsia="黑体" w:hAnsi="黑体" w:cs="宋体"/>
          <w:kern w:val="0"/>
          <w:sz w:val="26"/>
          <w:szCs w:val="26"/>
        </w:rPr>
      </w:pPr>
      <w:r w:rsidRPr="007E36F9">
        <w:rPr>
          <w:rFonts w:ascii="黑体" w:eastAsia="黑体" w:hAnsi="黑体" w:cs="宋体" w:hint="eastAsia"/>
          <w:kern w:val="0"/>
          <w:sz w:val="26"/>
          <w:szCs w:val="26"/>
        </w:rPr>
        <w:t>投资人也可通过书信、传真、电子邮件等方式，向中国证监会和中国证券业协会投诉。联系方式如下：</w:t>
      </w:r>
    </w:p>
    <w:p w:rsidR="000344C1" w:rsidRDefault="00186BE9" w:rsidP="000344C1">
      <w:pPr>
        <w:ind w:firstLine="602"/>
        <w:rPr>
          <w:rFonts w:ascii="黑体" w:eastAsia="黑体" w:hAnsi="黑体" w:cs="Arial"/>
          <w:sz w:val="26"/>
          <w:szCs w:val="26"/>
        </w:rPr>
      </w:pPr>
      <w:r w:rsidRPr="007E36F9">
        <w:rPr>
          <w:rFonts w:ascii="黑体" w:eastAsia="黑体" w:hAnsi="黑体" w:cs="宋体" w:hint="eastAsia"/>
          <w:kern w:val="0"/>
          <w:sz w:val="26"/>
          <w:szCs w:val="26"/>
        </w:rPr>
        <w:t>中国证监会</w:t>
      </w:r>
      <w:r w:rsidR="00813F27">
        <w:rPr>
          <w:rFonts w:ascii="黑体" w:eastAsia="黑体" w:hAnsi="黑体" w:cs="宋体" w:hint="eastAsia"/>
          <w:kern w:val="0"/>
          <w:sz w:val="26"/>
          <w:szCs w:val="26"/>
        </w:rPr>
        <w:t xml:space="preserve"> </w:t>
      </w:r>
      <w:r w:rsidRPr="007E36F9">
        <w:rPr>
          <w:rFonts w:ascii="黑体" w:eastAsia="黑体" w:hAnsi="黑体" w:cs="宋体" w:hint="eastAsia"/>
          <w:kern w:val="0"/>
          <w:sz w:val="26"/>
          <w:szCs w:val="26"/>
        </w:rPr>
        <w:t>网址：</w:t>
      </w:r>
      <w:hyperlink r:id="rId8" w:history="1">
        <w:r w:rsidRPr="007E36F9">
          <w:rPr>
            <w:rFonts w:ascii="黑体" w:eastAsia="黑体" w:hAnsi="黑体" w:cs="Arial" w:hint="eastAsia"/>
            <w:color w:val="0000FF"/>
            <w:sz w:val="26"/>
            <w:szCs w:val="26"/>
            <w:u w:val="single"/>
          </w:rPr>
          <w:t>www.csrc.gov.cn</w:t>
        </w:r>
      </w:hyperlink>
      <w:r w:rsidRPr="007E36F9">
        <w:rPr>
          <w:rFonts w:ascii="黑体" w:eastAsia="黑体" w:hAnsi="黑体" w:cs="Arial" w:hint="eastAsia"/>
          <w:sz w:val="26"/>
          <w:szCs w:val="26"/>
        </w:rPr>
        <w:t xml:space="preserve">    </w:t>
      </w:r>
    </w:p>
    <w:p w:rsidR="000344C1" w:rsidRDefault="00186BE9" w:rsidP="000344C1">
      <w:pPr>
        <w:ind w:firstLine="602"/>
        <w:rPr>
          <w:rFonts w:ascii="黑体" w:eastAsia="黑体" w:hAnsi="黑体" w:cs="宋体"/>
          <w:kern w:val="0"/>
          <w:sz w:val="26"/>
          <w:szCs w:val="26"/>
        </w:rPr>
      </w:pPr>
      <w:r w:rsidRPr="007E36F9">
        <w:rPr>
          <w:rFonts w:ascii="黑体" w:eastAsia="黑体" w:hAnsi="黑体" w:cs="宋体" w:hint="eastAsia"/>
          <w:kern w:val="0"/>
          <w:sz w:val="26"/>
          <w:szCs w:val="26"/>
        </w:rPr>
        <w:t>联系电话：</w:t>
      </w:r>
      <w:r w:rsidR="000344C1" w:rsidRPr="000344C1">
        <w:rPr>
          <w:rFonts w:ascii="黑体" w:eastAsia="黑体" w:hAnsi="黑体" w:cs="宋体"/>
          <w:kern w:val="0"/>
          <w:sz w:val="26"/>
          <w:szCs w:val="26"/>
        </w:rPr>
        <w:t>010－66210182、</w:t>
      </w:r>
      <w:r w:rsidR="000344C1">
        <w:rPr>
          <w:rFonts w:ascii="黑体" w:eastAsia="黑体" w:hAnsi="黑体" w:cs="宋体" w:hint="eastAsia"/>
          <w:kern w:val="0"/>
          <w:sz w:val="26"/>
          <w:szCs w:val="26"/>
        </w:rPr>
        <w:t>010-</w:t>
      </w:r>
      <w:r w:rsidR="000344C1" w:rsidRPr="000344C1">
        <w:rPr>
          <w:rFonts w:ascii="黑体" w:eastAsia="黑体" w:hAnsi="黑体" w:cs="宋体"/>
          <w:kern w:val="0"/>
          <w:sz w:val="26"/>
          <w:szCs w:val="26"/>
        </w:rPr>
        <w:t>66210166</w:t>
      </w:r>
    </w:p>
    <w:p w:rsidR="000344C1" w:rsidRDefault="00186BE9" w:rsidP="000344C1">
      <w:pPr>
        <w:ind w:firstLine="602"/>
        <w:rPr>
          <w:rFonts w:ascii="黑体" w:eastAsia="黑体" w:hAnsi="黑体" w:cs="宋体"/>
          <w:kern w:val="0"/>
          <w:sz w:val="26"/>
          <w:szCs w:val="26"/>
        </w:rPr>
      </w:pPr>
      <w:r w:rsidRPr="007E36F9">
        <w:rPr>
          <w:rFonts w:ascii="黑体" w:eastAsia="黑体" w:hAnsi="黑体" w:cs="宋体" w:hint="eastAsia"/>
          <w:kern w:val="0"/>
          <w:sz w:val="26"/>
          <w:szCs w:val="26"/>
        </w:rPr>
        <w:t>地址：</w:t>
      </w:r>
      <w:r w:rsidR="000344C1" w:rsidRPr="000344C1">
        <w:rPr>
          <w:rFonts w:ascii="黑体" w:eastAsia="黑体" w:hAnsi="黑体" w:cs="宋体"/>
          <w:kern w:val="0"/>
          <w:sz w:val="26"/>
          <w:szCs w:val="26"/>
        </w:rPr>
        <w:t>中国北京西城区金融大街19号富凯大厦</w:t>
      </w:r>
      <w:r w:rsidR="00813F27">
        <w:rPr>
          <w:rFonts w:ascii="黑体" w:eastAsia="黑体" w:hAnsi="黑体" w:cs="宋体" w:hint="eastAsia"/>
          <w:kern w:val="0"/>
          <w:sz w:val="26"/>
          <w:szCs w:val="26"/>
        </w:rPr>
        <w:t xml:space="preserve"> </w:t>
      </w:r>
    </w:p>
    <w:p w:rsidR="00186BE9" w:rsidRPr="000344C1" w:rsidRDefault="00186BE9" w:rsidP="000344C1">
      <w:pPr>
        <w:ind w:firstLine="602"/>
        <w:rPr>
          <w:rFonts w:ascii="黑体" w:eastAsia="黑体" w:hAnsi="黑体" w:cs="Arial"/>
          <w:sz w:val="26"/>
          <w:szCs w:val="26"/>
        </w:rPr>
      </w:pPr>
      <w:r w:rsidRPr="007E36F9">
        <w:rPr>
          <w:rFonts w:ascii="黑体" w:eastAsia="黑体" w:hAnsi="黑体" w:cs="宋体" w:hint="eastAsia"/>
          <w:kern w:val="0"/>
          <w:sz w:val="26"/>
          <w:szCs w:val="26"/>
        </w:rPr>
        <w:t>邮编：</w:t>
      </w:r>
      <w:r w:rsidR="000344C1">
        <w:rPr>
          <w:rFonts w:ascii="黑体" w:eastAsia="黑体" w:hAnsi="黑体" w:cs="宋体" w:hint="eastAsia"/>
          <w:kern w:val="0"/>
          <w:sz w:val="26"/>
          <w:szCs w:val="26"/>
        </w:rPr>
        <w:t>100033</w:t>
      </w:r>
    </w:p>
    <w:p w:rsidR="000344C1" w:rsidRDefault="00186BE9" w:rsidP="00186BE9">
      <w:pPr>
        <w:ind w:leftChars="71" w:left="149" w:firstLineChars="150" w:firstLine="390"/>
        <w:rPr>
          <w:rFonts w:ascii="黑体" w:eastAsia="黑体" w:hAnsi="黑体" w:cs="宋体"/>
          <w:kern w:val="0"/>
          <w:sz w:val="26"/>
          <w:szCs w:val="26"/>
        </w:rPr>
      </w:pPr>
      <w:r w:rsidRPr="007E36F9">
        <w:rPr>
          <w:rFonts w:ascii="黑体" w:eastAsia="黑体" w:hAnsi="黑体" w:cs="宋体" w:hint="eastAsia"/>
          <w:kern w:val="0"/>
          <w:sz w:val="26"/>
          <w:szCs w:val="26"/>
        </w:rPr>
        <w:t>中国证券业协会：网址：</w:t>
      </w:r>
      <w:hyperlink r:id="rId9" w:history="1">
        <w:r w:rsidRPr="007E36F9">
          <w:rPr>
            <w:rFonts w:ascii="黑体" w:eastAsia="黑体" w:hAnsi="黑体" w:cs="宋体" w:hint="eastAsia"/>
            <w:color w:val="0000FF"/>
            <w:kern w:val="0"/>
            <w:sz w:val="26"/>
            <w:szCs w:val="26"/>
            <w:u w:val="single"/>
          </w:rPr>
          <w:t>www.sac.net.cn</w:t>
        </w:r>
      </w:hyperlink>
    </w:p>
    <w:p w:rsidR="000344C1" w:rsidRDefault="000344C1" w:rsidP="00186BE9">
      <w:pPr>
        <w:ind w:leftChars="71" w:left="149" w:firstLineChars="150" w:firstLine="390"/>
        <w:rPr>
          <w:rFonts w:ascii="黑体" w:eastAsia="黑体" w:hAnsi="黑体" w:cs="宋体"/>
          <w:kern w:val="0"/>
          <w:sz w:val="26"/>
          <w:szCs w:val="26"/>
        </w:rPr>
      </w:pPr>
      <w:r>
        <w:rPr>
          <w:rFonts w:ascii="黑体" w:eastAsia="黑体" w:hAnsi="黑体" w:cs="宋体" w:hint="eastAsia"/>
          <w:kern w:val="0"/>
          <w:sz w:val="26"/>
          <w:szCs w:val="26"/>
        </w:rPr>
        <w:t>联系电话：</w:t>
      </w:r>
      <w:r w:rsidRPr="000344C1">
        <w:rPr>
          <w:rFonts w:ascii="黑体" w:eastAsia="黑体" w:hAnsi="黑体" w:cs="宋体" w:hint="eastAsia"/>
          <w:kern w:val="0"/>
          <w:sz w:val="26"/>
          <w:szCs w:val="26"/>
        </w:rPr>
        <w:t>010-66575797</w:t>
      </w:r>
      <w:r w:rsidR="00186BE9" w:rsidRPr="007E36F9">
        <w:rPr>
          <w:rFonts w:ascii="黑体" w:eastAsia="黑体" w:hAnsi="黑体" w:cs="宋体" w:hint="eastAsia"/>
          <w:kern w:val="0"/>
          <w:sz w:val="26"/>
          <w:szCs w:val="26"/>
        </w:rPr>
        <w:t xml:space="preserve"> </w:t>
      </w:r>
    </w:p>
    <w:p w:rsidR="000344C1" w:rsidRDefault="00186BE9" w:rsidP="000344C1">
      <w:pPr>
        <w:ind w:firstLineChars="200" w:firstLine="520"/>
        <w:rPr>
          <w:rFonts w:ascii="黑体" w:eastAsia="黑体" w:hAnsi="黑体" w:cs="宋体"/>
          <w:kern w:val="0"/>
          <w:sz w:val="26"/>
          <w:szCs w:val="26"/>
        </w:rPr>
      </w:pPr>
      <w:r w:rsidRPr="007E36F9">
        <w:rPr>
          <w:rFonts w:ascii="黑体" w:eastAsia="黑体" w:hAnsi="黑体" w:cs="宋体" w:hint="eastAsia"/>
          <w:kern w:val="0"/>
          <w:sz w:val="26"/>
          <w:szCs w:val="26"/>
        </w:rPr>
        <w:t>地址：</w:t>
      </w:r>
      <w:r w:rsidR="000344C1" w:rsidRPr="000344C1">
        <w:rPr>
          <w:rFonts w:ascii="黑体" w:eastAsia="黑体" w:hAnsi="黑体" w:cs="宋体" w:hint="eastAsia"/>
          <w:kern w:val="0"/>
          <w:sz w:val="26"/>
          <w:szCs w:val="26"/>
        </w:rPr>
        <w:t>北京市西城区金融大街19号富凯大厦B座2层</w:t>
      </w:r>
    </w:p>
    <w:p w:rsidR="00186BE9" w:rsidRPr="007E36F9" w:rsidRDefault="00186BE9" w:rsidP="000344C1">
      <w:pPr>
        <w:ind w:firstLineChars="200" w:firstLine="520"/>
        <w:rPr>
          <w:rFonts w:ascii="黑体" w:eastAsia="黑体" w:hAnsi="黑体" w:cs="宋体"/>
          <w:kern w:val="0"/>
          <w:sz w:val="26"/>
          <w:szCs w:val="26"/>
        </w:rPr>
      </w:pPr>
      <w:r w:rsidRPr="007E36F9">
        <w:rPr>
          <w:rFonts w:ascii="黑体" w:eastAsia="黑体" w:hAnsi="黑体" w:cs="宋体" w:hint="eastAsia"/>
          <w:kern w:val="0"/>
          <w:sz w:val="26"/>
          <w:szCs w:val="26"/>
        </w:rPr>
        <w:t>邮编：100</w:t>
      </w:r>
      <w:r w:rsidR="000344C1">
        <w:rPr>
          <w:rFonts w:ascii="黑体" w:eastAsia="黑体" w:hAnsi="黑体" w:cs="宋体" w:hint="eastAsia"/>
          <w:kern w:val="0"/>
          <w:sz w:val="26"/>
          <w:szCs w:val="26"/>
        </w:rPr>
        <w:t>032</w:t>
      </w:r>
    </w:p>
    <w:p w:rsidR="00186BE9" w:rsidRPr="007E36F9" w:rsidRDefault="000344C1" w:rsidP="00186BE9">
      <w:pPr>
        <w:ind w:firstLine="602"/>
        <w:rPr>
          <w:rFonts w:ascii="黑体" w:eastAsia="黑体" w:hAnsi="黑体" w:cs="宋体"/>
          <w:b/>
          <w:kern w:val="0"/>
          <w:sz w:val="26"/>
          <w:szCs w:val="26"/>
        </w:rPr>
      </w:pPr>
      <w:r>
        <w:rPr>
          <w:rFonts w:ascii="黑体" w:eastAsia="黑体" w:hAnsi="黑体" w:cs="宋体" w:hint="eastAsia"/>
          <w:b/>
          <w:kern w:val="0"/>
          <w:sz w:val="26"/>
          <w:szCs w:val="26"/>
        </w:rPr>
        <w:t xml:space="preserve"> </w:t>
      </w:r>
    </w:p>
    <w:p w:rsidR="00186BE9" w:rsidRPr="007E36F9" w:rsidRDefault="00186BE9" w:rsidP="00186BE9">
      <w:pPr>
        <w:ind w:firstLine="630"/>
        <w:rPr>
          <w:rFonts w:ascii="黑体" w:eastAsia="黑体" w:hAnsi="黑体" w:cs="Times New Roman"/>
          <w:sz w:val="26"/>
          <w:szCs w:val="26"/>
        </w:rPr>
      </w:pPr>
      <w:r w:rsidRPr="007E36F9">
        <w:rPr>
          <w:rFonts w:ascii="黑体" w:eastAsia="黑体" w:hAnsi="黑体" w:cs="Times New Roman" w:hint="eastAsia"/>
          <w:sz w:val="26"/>
          <w:szCs w:val="26"/>
        </w:rPr>
        <w:t>投资者在投资基金前应</w:t>
      </w:r>
      <w:r w:rsidRPr="007E36F9">
        <w:rPr>
          <w:rFonts w:ascii="黑体" w:eastAsia="黑体" w:hAnsi="黑体" w:cs="Arial" w:hint="eastAsia"/>
          <w:sz w:val="26"/>
          <w:szCs w:val="26"/>
        </w:rPr>
        <w:t>认真阅读《基金合同》、《招募说明书》等基金法律文件，选择与自身风险承受能力相适应的基金。我公司和基金管理人承诺投资人利益优先，以诚实信用、勤勉尽责的态度为投资人提供服务，但不能保证基金一定盈利，也不能保证基金的最低收益。投资人可登录中国证监会网站（www.csrc.gov.cn）或中国证券</w:t>
      </w:r>
      <w:r w:rsidR="00B765EF">
        <w:rPr>
          <w:rFonts w:ascii="黑体" w:eastAsia="黑体" w:hAnsi="黑体" w:cs="Arial" w:hint="eastAsia"/>
          <w:sz w:val="26"/>
          <w:szCs w:val="26"/>
        </w:rPr>
        <w:t>投资基金</w:t>
      </w:r>
      <w:bookmarkStart w:id="0" w:name="_GoBack"/>
      <w:bookmarkEnd w:id="0"/>
      <w:r w:rsidRPr="007E36F9">
        <w:rPr>
          <w:rFonts w:ascii="黑体" w:eastAsia="黑体" w:hAnsi="黑体" w:cs="Arial" w:hint="eastAsia"/>
          <w:sz w:val="26"/>
          <w:szCs w:val="26"/>
        </w:rPr>
        <w:t>业协会网站（www.sac.net.cn）查询基金销售机构名录，核实我公司基金销售资格。</w:t>
      </w:r>
    </w:p>
    <w:p w:rsidR="00186BE9" w:rsidRPr="007E36F9" w:rsidRDefault="00186BE9" w:rsidP="00186BE9">
      <w:pPr>
        <w:rPr>
          <w:rFonts w:ascii="黑体" w:eastAsia="黑体" w:hAnsi="黑体" w:cs="Times New Roman"/>
          <w:sz w:val="26"/>
          <w:szCs w:val="26"/>
        </w:rPr>
      </w:pPr>
    </w:p>
    <w:p w:rsidR="00186BE9" w:rsidRPr="007E36F9" w:rsidRDefault="00186BE9" w:rsidP="00186BE9">
      <w:pPr>
        <w:ind w:firstLineChars="253" w:firstLine="658"/>
        <w:rPr>
          <w:rFonts w:ascii="黑体" w:eastAsia="黑体" w:hAnsi="黑体" w:cs="Times New Roman"/>
          <w:sz w:val="26"/>
          <w:szCs w:val="26"/>
        </w:rPr>
      </w:pPr>
    </w:p>
    <w:p w:rsidR="00186BE9" w:rsidRPr="007E36F9" w:rsidRDefault="00186BE9" w:rsidP="00186BE9">
      <w:pPr>
        <w:ind w:firstLineChars="253" w:firstLine="658"/>
        <w:rPr>
          <w:rFonts w:ascii="黑体" w:eastAsia="黑体" w:hAnsi="黑体" w:cs="Times New Roman"/>
          <w:sz w:val="26"/>
          <w:szCs w:val="26"/>
        </w:rPr>
      </w:pPr>
      <w:r w:rsidRPr="007E36F9">
        <w:rPr>
          <w:rFonts w:ascii="黑体" w:eastAsia="黑体" w:hAnsi="黑体" w:cs="Times New Roman" w:hint="eastAsia"/>
          <w:sz w:val="26"/>
          <w:szCs w:val="26"/>
        </w:rPr>
        <w:t>基金销售机构名称：</w:t>
      </w:r>
      <w:r w:rsidR="000344C1">
        <w:rPr>
          <w:rFonts w:ascii="黑体" w:eastAsia="黑体" w:hAnsi="黑体" w:cs="Times New Roman" w:hint="eastAsia"/>
          <w:sz w:val="26"/>
          <w:szCs w:val="26"/>
        </w:rPr>
        <w:t>民生证券股份有限公司</w:t>
      </w:r>
      <w:r w:rsidRPr="007E36F9">
        <w:rPr>
          <w:rFonts w:ascii="黑体" w:eastAsia="黑体" w:hAnsi="黑体" w:cs="Times New Roman" w:hint="eastAsia"/>
          <w:sz w:val="26"/>
          <w:szCs w:val="26"/>
        </w:rPr>
        <w:t xml:space="preserve"> </w:t>
      </w:r>
    </w:p>
    <w:p w:rsidR="00186BE9" w:rsidRPr="007E36F9" w:rsidRDefault="00186BE9" w:rsidP="00186BE9">
      <w:pPr>
        <w:ind w:firstLineChars="253" w:firstLine="658"/>
        <w:rPr>
          <w:rFonts w:ascii="黑体" w:eastAsia="黑体" w:hAnsi="黑体" w:cs="Times New Roman"/>
          <w:sz w:val="26"/>
          <w:szCs w:val="26"/>
        </w:rPr>
      </w:pPr>
      <w:r w:rsidRPr="007E36F9">
        <w:rPr>
          <w:rFonts w:ascii="黑体" w:eastAsia="黑体" w:hAnsi="黑体" w:cs="Times New Roman" w:hint="eastAsia"/>
          <w:sz w:val="26"/>
          <w:szCs w:val="26"/>
        </w:rPr>
        <w:t>负责人：</w:t>
      </w:r>
      <w:r w:rsidR="000344C1">
        <w:rPr>
          <w:rFonts w:ascii="黑体" w:eastAsia="黑体" w:hAnsi="黑体" w:cs="Times New Roman" w:hint="eastAsia"/>
          <w:sz w:val="26"/>
          <w:szCs w:val="26"/>
        </w:rPr>
        <w:t>冯鹤年</w:t>
      </w:r>
      <w:r w:rsidRPr="007E36F9">
        <w:rPr>
          <w:rFonts w:ascii="黑体" w:eastAsia="黑体" w:hAnsi="黑体" w:cs="Times New Roman" w:hint="eastAsia"/>
          <w:sz w:val="26"/>
          <w:szCs w:val="26"/>
        </w:rPr>
        <w:t xml:space="preserve"> </w:t>
      </w:r>
    </w:p>
    <w:p w:rsidR="00186BE9" w:rsidRPr="007E36F9" w:rsidRDefault="00186BE9" w:rsidP="00186BE9">
      <w:pPr>
        <w:ind w:firstLineChars="253" w:firstLine="658"/>
        <w:rPr>
          <w:rFonts w:ascii="黑体" w:eastAsia="黑体" w:hAnsi="黑体" w:cs="Times New Roman"/>
          <w:sz w:val="26"/>
          <w:szCs w:val="26"/>
        </w:rPr>
      </w:pPr>
      <w:r w:rsidRPr="007E36F9">
        <w:rPr>
          <w:rFonts w:ascii="黑体" w:eastAsia="黑体" w:hAnsi="黑体" w:cs="Times New Roman" w:hint="eastAsia"/>
          <w:sz w:val="26"/>
          <w:szCs w:val="26"/>
        </w:rPr>
        <w:t>网址：</w:t>
      </w:r>
      <w:r w:rsidR="000344C1">
        <w:rPr>
          <w:rFonts w:ascii="黑体" w:eastAsia="黑体" w:hAnsi="黑体" w:cs="Times New Roman" w:hint="eastAsia"/>
          <w:sz w:val="26"/>
          <w:szCs w:val="26"/>
        </w:rPr>
        <w:t>www.mszq.com</w:t>
      </w:r>
    </w:p>
    <w:p w:rsidR="00186BE9" w:rsidRPr="007E36F9" w:rsidRDefault="00186BE9" w:rsidP="00186BE9">
      <w:pPr>
        <w:tabs>
          <w:tab w:val="left" w:pos="1470"/>
        </w:tabs>
        <w:ind w:firstLineChars="253" w:firstLine="658"/>
        <w:rPr>
          <w:rFonts w:ascii="黑体" w:eastAsia="黑体" w:hAnsi="黑体" w:cs="Times New Roman"/>
          <w:sz w:val="26"/>
          <w:szCs w:val="26"/>
        </w:rPr>
      </w:pPr>
      <w:r w:rsidRPr="007E36F9">
        <w:rPr>
          <w:rFonts w:ascii="黑体" w:eastAsia="黑体" w:hAnsi="黑体" w:cs="Times New Roman" w:hint="eastAsia"/>
          <w:sz w:val="26"/>
          <w:szCs w:val="26"/>
        </w:rPr>
        <w:t>客户服务中心电话：</w:t>
      </w:r>
      <w:r w:rsidR="00813F27">
        <w:rPr>
          <w:rFonts w:ascii="黑体" w:eastAsia="黑体" w:hAnsi="黑体" w:cs="Times New Roman" w:hint="eastAsia"/>
          <w:sz w:val="26"/>
          <w:szCs w:val="26"/>
        </w:rPr>
        <w:t>95376</w:t>
      </w:r>
    </w:p>
    <w:p w:rsidR="00186BE9" w:rsidRPr="007E36F9" w:rsidRDefault="00186BE9" w:rsidP="00186BE9">
      <w:pPr>
        <w:ind w:firstLineChars="253" w:firstLine="658"/>
        <w:rPr>
          <w:rFonts w:ascii="黑体" w:eastAsia="黑体" w:hAnsi="黑体" w:cs="Times New Roman"/>
          <w:sz w:val="26"/>
          <w:szCs w:val="26"/>
        </w:rPr>
      </w:pPr>
      <w:r w:rsidRPr="007E36F9">
        <w:rPr>
          <w:rFonts w:ascii="黑体" w:eastAsia="黑体" w:hAnsi="黑体" w:cs="Times New Roman" w:hint="eastAsia"/>
          <w:sz w:val="26"/>
          <w:szCs w:val="26"/>
        </w:rPr>
        <w:t>地址：</w:t>
      </w:r>
      <w:r w:rsidR="000344C1">
        <w:rPr>
          <w:rFonts w:ascii="黑体" w:eastAsia="黑体" w:hAnsi="黑体" w:cs="Times New Roman" w:hint="eastAsia"/>
          <w:sz w:val="26"/>
          <w:szCs w:val="26"/>
        </w:rPr>
        <w:t>北京市东城区建国门内大街28号民生金融中心A座16-20层</w:t>
      </w:r>
      <w:r w:rsidRPr="007E36F9">
        <w:rPr>
          <w:rFonts w:ascii="黑体" w:eastAsia="黑体" w:hAnsi="黑体" w:cs="Times New Roman" w:hint="eastAsia"/>
          <w:sz w:val="26"/>
          <w:szCs w:val="26"/>
        </w:rPr>
        <w:t xml:space="preserve"> </w:t>
      </w:r>
    </w:p>
    <w:p w:rsidR="00186BE9" w:rsidRPr="007E36F9" w:rsidRDefault="00186BE9" w:rsidP="00186BE9">
      <w:pPr>
        <w:ind w:firstLineChars="253" w:firstLine="658"/>
        <w:rPr>
          <w:rFonts w:ascii="黑体" w:eastAsia="黑体" w:hAnsi="黑体" w:cs="Times New Roman"/>
          <w:sz w:val="26"/>
          <w:szCs w:val="26"/>
        </w:rPr>
      </w:pPr>
      <w:r w:rsidRPr="007E36F9">
        <w:rPr>
          <w:rFonts w:ascii="黑体" w:eastAsia="黑体" w:hAnsi="黑体" w:cs="Times New Roman" w:hint="eastAsia"/>
          <w:sz w:val="26"/>
          <w:szCs w:val="26"/>
        </w:rPr>
        <w:t>邮编：</w:t>
      </w:r>
      <w:r w:rsidR="000344C1">
        <w:rPr>
          <w:rFonts w:ascii="黑体" w:eastAsia="黑体" w:hAnsi="黑体" w:cs="Times New Roman" w:hint="eastAsia"/>
          <w:sz w:val="26"/>
          <w:szCs w:val="26"/>
        </w:rPr>
        <w:t>100005</w:t>
      </w:r>
      <w:r w:rsidRPr="007E36F9">
        <w:rPr>
          <w:rFonts w:ascii="黑体" w:eastAsia="黑体" w:hAnsi="黑体" w:cs="Times New Roman" w:hint="eastAsia"/>
          <w:sz w:val="26"/>
          <w:szCs w:val="26"/>
        </w:rPr>
        <w:t xml:space="preserve"> </w:t>
      </w:r>
    </w:p>
    <w:p w:rsidR="001B7C96" w:rsidRDefault="001B7C96"/>
    <w:sectPr w:rsidR="001B7C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F8" w:rsidRDefault="00B12BF8" w:rsidP="00FA2DBD">
      <w:r>
        <w:separator/>
      </w:r>
    </w:p>
  </w:endnote>
  <w:endnote w:type="continuationSeparator" w:id="0">
    <w:p w:rsidR="00B12BF8" w:rsidRDefault="00B12BF8" w:rsidP="00FA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F8" w:rsidRDefault="00B12BF8" w:rsidP="00FA2DBD">
      <w:r>
        <w:separator/>
      </w:r>
    </w:p>
  </w:footnote>
  <w:footnote w:type="continuationSeparator" w:id="0">
    <w:p w:rsidR="00B12BF8" w:rsidRDefault="00B12BF8" w:rsidP="00FA2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A425E"/>
    <w:multiLevelType w:val="multilevel"/>
    <w:tmpl w:val="755A425E"/>
    <w:lvl w:ilvl="0">
      <w:start w:val="1"/>
      <w:numFmt w:val="decimalEnclosedCircle"/>
      <w:lvlText w:val="%1"/>
      <w:lvlJc w:val="left"/>
      <w:pPr>
        <w:tabs>
          <w:tab w:val="num" w:pos="840"/>
        </w:tabs>
        <w:ind w:left="840" w:hanging="360"/>
      </w:pPr>
      <w:rPr>
        <w:rFonts w:ascii="仿宋_GB2312"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E9"/>
    <w:rsid w:val="0000380E"/>
    <w:rsid w:val="00014C28"/>
    <w:rsid w:val="000344C1"/>
    <w:rsid w:val="0004110A"/>
    <w:rsid w:val="00046FB8"/>
    <w:rsid w:val="00065B4F"/>
    <w:rsid w:val="00085624"/>
    <w:rsid w:val="000A0C02"/>
    <w:rsid w:val="000A19E3"/>
    <w:rsid w:val="000B3427"/>
    <w:rsid w:val="000B62B8"/>
    <w:rsid w:val="000C6585"/>
    <w:rsid w:val="000D4CC0"/>
    <w:rsid w:val="000D5FD6"/>
    <w:rsid w:val="000D65B3"/>
    <w:rsid w:val="00105938"/>
    <w:rsid w:val="00110F02"/>
    <w:rsid w:val="00131CE6"/>
    <w:rsid w:val="00161BF0"/>
    <w:rsid w:val="00166C2B"/>
    <w:rsid w:val="001717EC"/>
    <w:rsid w:val="00181838"/>
    <w:rsid w:val="00185313"/>
    <w:rsid w:val="001866BC"/>
    <w:rsid w:val="00186BE9"/>
    <w:rsid w:val="001B67F2"/>
    <w:rsid w:val="001B74D4"/>
    <w:rsid w:val="001B7C96"/>
    <w:rsid w:val="001D4500"/>
    <w:rsid w:val="001D4C1B"/>
    <w:rsid w:val="001F248B"/>
    <w:rsid w:val="001F3CF8"/>
    <w:rsid w:val="00210B6E"/>
    <w:rsid w:val="0025373C"/>
    <w:rsid w:val="00253773"/>
    <w:rsid w:val="0026096A"/>
    <w:rsid w:val="002E56BD"/>
    <w:rsid w:val="002F6F1E"/>
    <w:rsid w:val="00306F31"/>
    <w:rsid w:val="00317DB5"/>
    <w:rsid w:val="00337337"/>
    <w:rsid w:val="00337E15"/>
    <w:rsid w:val="00341AF2"/>
    <w:rsid w:val="00345A58"/>
    <w:rsid w:val="003522F1"/>
    <w:rsid w:val="0035711D"/>
    <w:rsid w:val="0035766A"/>
    <w:rsid w:val="00360494"/>
    <w:rsid w:val="003670B3"/>
    <w:rsid w:val="003676A7"/>
    <w:rsid w:val="00387539"/>
    <w:rsid w:val="00387724"/>
    <w:rsid w:val="003917B2"/>
    <w:rsid w:val="003B2798"/>
    <w:rsid w:val="00402838"/>
    <w:rsid w:val="00461A7B"/>
    <w:rsid w:val="00476F27"/>
    <w:rsid w:val="00487EA8"/>
    <w:rsid w:val="004A1822"/>
    <w:rsid w:val="004A5140"/>
    <w:rsid w:val="004E71DE"/>
    <w:rsid w:val="00503876"/>
    <w:rsid w:val="0051214C"/>
    <w:rsid w:val="00517A91"/>
    <w:rsid w:val="0052552D"/>
    <w:rsid w:val="00535BBE"/>
    <w:rsid w:val="00543245"/>
    <w:rsid w:val="00546B8A"/>
    <w:rsid w:val="005966DB"/>
    <w:rsid w:val="005A6462"/>
    <w:rsid w:val="005B2C3A"/>
    <w:rsid w:val="005B4C22"/>
    <w:rsid w:val="005D2A9F"/>
    <w:rsid w:val="005E24DC"/>
    <w:rsid w:val="005F2501"/>
    <w:rsid w:val="006075FE"/>
    <w:rsid w:val="0061475C"/>
    <w:rsid w:val="00620B9C"/>
    <w:rsid w:val="00644CD7"/>
    <w:rsid w:val="006520E5"/>
    <w:rsid w:val="006924C9"/>
    <w:rsid w:val="006C2CBE"/>
    <w:rsid w:val="006C6FA6"/>
    <w:rsid w:val="006E1852"/>
    <w:rsid w:val="006E70FE"/>
    <w:rsid w:val="00712B40"/>
    <w:rsid w:val="00724575"/>
    <w:rsid w:val="0073238E"/>
    <w:rsid w:val="007459C9"/>
    <w:rsid w:val="007509B4"/>
    <w:rsid w:val="00750CF6"/>
    <w:rsid w:val="007629F1"/>
    <w:rsid w:val="00770ADD"/>
    <w:rsid w:val="007945BE"/>
    <w:rsid w:val="007956B2"/>
    <w:rsid w:val="007A253B"/>
    <w:rsid w:val="007A71C2"/>
    <w:rsid w:val="007C1025"/>
    <w:rsid w:val="007E274A"/>
    <w:rsid w:val="0080336E"/>
    <w:rsid w:val="008062C9"/>
    <w:rsid w:val="00811188"/>
    <w:rsid w:val="00813F27"/>
    <w:rsid w:val="00815AFA"/>
    <w:rsid w:val="00873331"/>
    <w:rsid w:val="00881419"/>
    <w:rsid w:val="00886DDD"/>
    <w:rsid w:val="008C3B5E"/>
    <w:rsid w:val="008C78A0"/>
    <w:rsid w:val="008D1016"/>
    <w:rsid w:val="008E5704"/>
    <w:rsid w:val="00902163"/>
    <w:rsid w:val="009141B0"/>
    <w:rsid w:val="00916C9F"/>
    <w:rsid w:val="0092101D"/>
    <w:rsid w:val="00925D88"/>
    <w:rsid w:val="00937445"/>
    <w:rsid w:val="00937B67"/>
    <w:rsid w:val="0094485F"/>
    <w:rsid w:val="00960137"/>
    <w:rsid w:val="0097461E"/>
    <w:rsid w:val="00977F69"/>
    <w:rsid w:val="00994ECB"/>
    <w:rsid w:val="0099520D"/>
    <w:rsid w:val="0099539B"/>
    <w:rsid w:val="009E50D5"/>
    <w:rsid w:val="009E77EE"/>
    <w:rsid w:val="009F6F1A"/>
    <w:rsid w:val="00A3269D"/>
    <w:rsid w:val="00A61EC9"/>
    <w:rsid w:val="00AC60FE"/>
    <w:rsid w:val="00AD4033"/>
    <w:rsid w:val="00AD4C39"/>
    <w:rsid w:val="00B00B1B"/>
    <w:rsid w:val="00B12BF8"/>
    <w:rsid w:val="00B55983"/>
    <w:rsid w:val="00B765EF"/>
    <w:rsid w:val="00B77434"/>
    <w:rsid w:val="00B84A5E"/>
    <w:rsid w:val="00BB6B95"/>
    <w:rsid w:val="00BC31E2"/>
    <w:rsid w:val="00BE52EF"/>
    <w:rsid w:val="00C06C0F"/>
    <w:rsid w:val="00C12241"/>
    <w:rsid w:val="00C25E72"/>
    <w:rsid w:val="00C46AD2"/>
    <w:rsid w:val="00C5260E"/>
    <w:rsid w:val="00C535DD"/>
    <w:rsid w:val="00C53624"/>
    <w:rsid w:val="00C60F58"/>
    <w:rsid w:val="00C6227D"/>
    <w:rsid w:val="00C64255"/>
    <w:rsid w:val="00C711D4"/>
    <w:rsid w:val="00C93200"/>
    <w:rsid w:val="00CA2F39"/>
    <w:rsid w:val="00CC1444"/>
    <w:rsid w:val="00CC330B"/>
    <w:rsid w:val="00CD6F83"/>
    <w:rsid w:val="00D074B7"/>
    <w:rsid w:val="00D24532"/>
    <w:rsid w:val="00D54CB8"/>
    <w:rsid w:val="00D55B86"/>
    <w:rsid w:val="00DA564E"/>
    <w:rsid w:val="00DA5E28"/>
    <w:rsid w:val="00DB2678"/>
    <w:rsid w:val="00DE57DF"/>
    <w:rsid w:val="00DF65E4"/>
    <w:rsid w:val="00E1563A"/>
    <w:rsid w:val="00E939B7"/>
    <w:rsid w:val="00EB04EF"/>
    <w:rsid w:val="00EB42A0"/>
    <w:rsid w:val="00EC42B3"/>
    <w:rsid w:val="00ED3017"/>
    <w:rsid w:val="00EE5566"/>
    <w:rsid w:val="00EF1C91"/>
    <w:rsid w:val="00F1483E"/>
    <w:rsid w:val="00F430A2"/>
    <w:rsid w:val="00F50221"/>
    <w:rsid w:val="00F561FD"/>
    <w:rsid w:val="00F57935"/>
    <w:rsid w:val="00F8227F"/>
    <w:rsid w:val="00F830BF"/>
    <w:rsid w:val="00F903DD"/>
    <w:rsid w:val="00FA2DBD"/>
    <w:rsid w:val="00FB41DB"/>
    <w:rsid w:val="00FC1384"/>
    <w:rsid w:val="00FD58F0"/>
    <w:rsid w:val="00FD7B0C"/>
    <w:rsid w:val="00FE2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DBD"/>
    <w:rPr>
      <w:sz w:val="18"/>
      <w:szCs w:val="18"/>
    </w:rPr>
  </w:style>
  <w:style w:type="paragraph" w:styleId="a4">
    <w:name w:val="footer"/>
    <w:basedOn w:val="a"/>
    <w:link w:val="Char0"/>
    <w:uiPriority w:val="99"/>
    <w:unhideWhenUsed/>
    <w:rsid w:val="00FA2DBD"/>
    <w:pPr>
      <w:tabs>
        <w:tab w:val="center" w:pos="4153"/>
        <w:tab w:val="right" w:pos="8306"/>
      </w:tabs>
      <w:snapToGrid w:val="0"/>
      <w:jc w:val="left"/>
    </w:pPr>
    <w:rPr>
      <w:sz w:val="18"/>
      <w:szCs w:val="18"/>
    </w:rPr>
  </w:style>
  <w:style w:type="character" w:customStyle="1" w:styleId="Char0">
    <w:name w:val="页脚 Char"/>
    <w:basedOn w:val="a0"/>
    <w:link w:val="a4"/>
    <w:uiPriority w:val="99"/>
    <w:rsid w:val="00FA2DBD"/>
    <w:rPr>
      <w:sz w:val="18"/>
      <w:szCs w:val="18"/>
    </w:rPr>
  </w:style>
  <w:style w:type="paragraph" w:styleId="a5">
    <w:name w:val="List Paragraph"/>
    <w:basedOn w:val="a"/>
    <w:uiPriority w:val="34"/>
    <w:qFormat/>
    <w:rsid w:val="0026096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DBD"/>
    <w:rPr>
      <w:sz w:val="18"/>
      <w:szCs w:val="18"/>
    </w:rPr>
  </w:style>
  <w:style w:type="paragraph" w:styleId="a4">
    <w:name w:val="footer"/>
    <w:basedOn w:val="a"/>
    <w:link w:val="Char0"/>
    <w:uiPriority w:val="99"/>
    <w:unhideWhenUsed/>
    <w:rsid w:val="00FA2DBD"/>
    <w:pPr>
      <w:tabs>
        <w:tab w:val="center" w:pos="4153"/>
        <w:tab w:val="right" w:pos="8306"/>
      </w:tabs>
      <w:snapToGrid w:val="0"/>
      <w:jc w:val="left"/>
    </w:pPr>
    <w:rPr>
      <w:sz w:val="18"/>
      <w:szCs w:val="18"/>
    </w:rPr>
  </w:style>
  <w:style w:type="character" w:customStyle="1" w:styleId="Char0">
    <w:name w:val="页脚 Char"/>
    <w:basedOn w:val="a0"/>
    <w:link w:val="a4"/>
    <w:uiPriority w:val="99"/>
    <w:rsid w:val="00FA2DBD"/>
    <w:rPr>
      <w:sz w:val="18"/>
      <w:szCs w:val="18"/>
    </w:rPr>
  </w:style>
  <w:style w:type="paragraph" w:styleId="a5">
    <w:name w:val="List Paragraph"/>
    <w:basedOn w:val="a"/>
    <w:uiPriority w:val="34"/>
    <w:qFormat/>
    <w:rsid w:val="002609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c.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ne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673</Words>
  <Characters>3842</Characters>
  <Application>Microsoft Office Word</Application>
  <DocSecurity>0</DocSecurity>
  <Lines>32</Lines>
  <Paragraphs>9</Paragraphs>
  <ScaleCrop>false</ScaleCrop>
  <Company>mszq</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韩秀萍</dc:creator>
  <cp:lastModifiedBy>韩秀萍</cp:lastModifiedBy>
  <cp:revision>2</cp:revision>
  <dcterms:created xsi:type="dcterms:W3CDTF">2018-12-20T05:31:00Z</dcterms:created>
  <dcterms:modified xsi:type="dcterms:W3CDTF">2018-12-20T05:31:00Z</dcterms:modified>
</cp:coreProperties>
</file>