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F0" w:rsidRPr="000338A1" w:rsidRDefault="009E09AA" w:rsidP="000338A1">
      <w:pPr>
        <w:spacing w:beforeLines="100" w:before="312" w:afterLines="100" w:after="312"/>
        <w:jc w:val="center"/>
        <w:rPr>
          <w:rFonts w:asciiTheme="majorEastAsia" w:eastAsiaTheme="majorEastAsia" w:hAnsiTheme="majorEastAsia"/>
          <w:sz w:val="44"/>
          <w:szCs w:val="44"/>
        </w:rPr>
      </w:pPr>
      <w:r w:rsidRPr="000338A1">
        <w:rPr>
          <w:rFonts w:asciiTheme="majorEastAsia" w:eastAsiaTheme="majorEastAsia" w:hAnsiTheme="majorEastAsia" w:hint="eastAsia"/>
          <w:b/>
          <w:sz w:val="44"/>
          <w:szCs w:val="44"/>
        </w:rPr>
        <w:t>民生期货公司保证金账户信息、期货保证金安全存管方式公示内容</w:t>
      </w:r>
    </w:p>
    <w:p w:rsidR="009E09AA" w:rsidRPr="000338A1" w:rsidRDefault="000338A1" w:rsidP="000338A1">
      <w:pPr>
        <w:ind w:firstLineChars="200" w:firstLine="560"/>
      </w:pPr>
      <w:r w:rsidRPr="000338A1">
        <w:rPr>
          <w:rFonts w:ascii="仿宋_GB2312" w:eastAsia="仿宋_GB2312" w:hint="eastAsia"/>
          <w:sz w:val="28"/>
          <w:szCs w:val="28"/>
        </w:rPr>
        <w:t>（1）民生期货有限公司保证金账户信息</w:t>
      </w:r>
    </w:p>
    <w:p w:rsidR="000E0BF0" w:rsidRDefault="000E0BF0" w:rsidP="000E0BF0"/>
    <w:tbl>
      <w:tblPr>
        <w:tblW w:w="8415" w:type="dxa"/>
        <w:jc w:val="center"/>
        <w:tblInd w:w="-331" w:type="dxa"/>
        <w:tblLook w:val="04A0" w:firstRow="1" w:lastRow="0" w:firstColumn="1" w:lastColumn="0" w:noHBand="0" w:noVBand="1"/>
      </w:tblPr>
      <w:tblGrid>
        <w:gridCol w:w="1033"/>
        <w:gridCol w:w="4895"/>
        <w:gridCol w:w="2487"/>
      </w:tblGrid>
      <w:tr w:rsidR="009E09AA" w:rsidTr="00586AE6">
        <w:trPr>
          <w:cantSplit/>
          <w:trHeight w:val="382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4D133B" w:rsidRDefault="009E09AA" w:rsidP="000338A1">
            <w:pPr>
              <w:jc w:val="center"/>
            </w:pPr>
            <w:bookmarkStart w:id="0" w:name="_GoBack"/>
            <w:bookmarkEnd w:id="0"/>
            <w:r w:rsidRPr="004D133B">
              <w:rPr>
                <w:rFonts w:hint="eastAsia"/>
              </w:rPr>
              <w:t>地址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4D133B" w:rsidRDefault="009E09AA" w:rsidP="000338A1">
            <w:pPr>
              <w:jc w:val="center"/>
            </w:pPr>
            <w:r w:rsidRPr="004D133B">
              <w:rPr>
                <w:rFonts w:hint="eastAsia"/>
              </w:rPr>
              <w:t>开</w:t>
            </w:r>
            <w:r w:rsidRPr="004D133B">
              <w:rPr>
                <w:rFonts w:hint="eastAsia"/>
              </w:rPr>
              <w:t xml:space="preserve">    </w:t>
            </w:r>
            <w:r w:rsidRPr="004D133B">
              <w:rPr>
                <w:rFonts w:hint="eastAsia"/>
              </w:rPr>
              <w:t>户</w:t>
            </w:r>
            <w:r w:rsidRPr="004D133B">
              <w:rPr>
                <w:rFonts w:hint="eastAsia"/>
              </w:rPr>
              <w:t xml:space="preserve">    </w:t>
            </w:r>
            <w:r w:rsidRPr="004D133B">
              <w:rPr>
                <w:rFonts w:hint="eastAsia"/>
              </w:rPr>
              <w:t>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4D133B" w:rsidRDefault="009E09AA" w:rsidP="000338A1">
            <w:pPr>
              <w:jc w:val="center"/>
            </w:pPr>
            <w:r w:rsidRPr="004D133B">
              <w:rPr>
                <w:rFonts w:hint="eastAsia"/>
              </w:rPr>
              <w:t>账号</w:t>
            </w:r>
          </w:p>
        </w:tc>
      </w:tr>
      <w:tr w:rsidR="009E09AA" w:rsidTr="00586AE6">
        <w:trPr>
          <w:cantSplit/>
          <w:trHeight w:val="382"/>
          <w:jc w:val="center"/>
        </w:trPr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9AA" w:rsidRPr="004D133B" w:rsidRDefault="009E09AA" w:rsidP="000338A1">
            <w:pPr>
              <w:jc w:val="center"/>
            </w:pPr>
            <w:r w:rsidRPr="004D133B">
              <w:rPr>
                <w:rFonts w:hint="eastAsia"/>
              </w:rPr>
              <w:t>大连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4D133B" w:rsidRDefault="009E09AA" w:rsidP="000338A1">
            <w:pPr>
              <w:jc w:val="left"/>
            </w:pPr>
            <w:r w:rsidRPr="004D133B">
              <w:rPr>
                <w:rFonts w:hint="eastAsia"/>
              </w:rPr>
              <w:t>中国工商银行大连商品交易所支行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4D133B" w:rsidRDefault="009E09AA" w:rsidP="000338A1">
            <w:pPr>
              <w:jc w:val="left"/>
            </w:pPr>
            <w:r w:rsidRPr="004D133B">
              <w:rPr>
                <w:rFonts w:hint="eastAsia"/>
              </w:rPr>
              <w:t>3400203529014414879</w:t>
            </w:r>
          </w:p>
        </w:tc>
      </w:tr>
      <w:tr w:rsidR="009E09AA" w:rsidTr="00586AE6">
        <w:trPr>
          <w:cantSplit/>
          <w:trHeight w:val="382"/>
          <w:jc w:val="center"/>
        </w:trPr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Default="009E09AA" w:rsidP="00033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1E2E25" w:rsidRDefault="009E09AA" w:rsidP="000338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33B">
              <w:rPr>
                <w:rFonts w:hint="eastAsia"/>
              </w:rPr>
              <w:t>浦发银行大连期货大厦支行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1E2E25" w:rsidRDefault="009E09AA" w:rsidP="000338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133B">
              <w:rPr>
                <w:rFonts w:hint="eastAsia"/>
              </w:rPr>
              <w:t>752001538070148000</w:t>
            </w:r>
          </w:p>
        </w:tc>
      </w:tr>
      <w:tr w:rsidR="009E09AA" w:rsidTr="00586AE6">
        <w:trPr>
          <w:cantSplit/>
          <w:trHeight w:val="382"/>
          <w:jc w:val="center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9AA" w:rsidRDefault="009E09AA" w:rsidP="00033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1E2E25" w:rsidRDefault="009E09AA" w:rsidP="000338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33B">
              <w:rPr>
                <w:rFonts w:hint="eastAsia"/>
              </w:rPr>
              <w:t>中国建设银行股份有限公司大连商品交易所支行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1E2E25" w:rsidRDefault="009E09AA" w:rsidP="000338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133B">
              <w:rPr>
                <w:rFonts w:hint="eastAsia"/>
              </w:rPr>
              <w:t>21201504000053000786</w:t>
            </w:r>
          </w:p>
        </w:tc>
      </w:tr>
      <w:tr w:rsidR="009E09AA" w:rsidTr="00586AE6">
        <w:trPr>
          <w:cantSplit/>
          <w:trHeight w:val="382"/>
          <w:jc w:val="center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9AA" w:rsidRDefault="009E09AA" w:rsidP="00033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1E2E25" w:rsidRDefault="009E09AA" w:rsidP="000338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33B">
              <w:rPr>
                <w:rFonts w:hint="eastAsia"/>
              </w:rPr>
              <w:t>交通银行大连商品交易所支行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1E2E25" w:rsidRDefault="009E09AA" w:rsidP="000338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133B">
              <w:rPr>
                <w:rFonts w:hint="eastAsia"/>
              </w:rPr>
              <w:t>212060120018010008727</w:t>
            </w:r>
          </w:p>
        </w:tc>
      </w:tr>
      <w:tr w:rsidR="009E09AA" w:rsidTr="00586AE6">
        <w:trPr>
          <w:cantSplit/>
          <w:trHeight w:val="382"/>
          <w:jc w:val="center"/>
        </w:trPr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9AA" w:rsidRPr="004D133B" w:rsidRDefault="009E09AA" w:rsidP="000338A1">
            <w:pPr>
              <w:jc w:val="center"/>
            </w:pPr>
            <w:r w:rsidRPr="004D133B">
              <w:rPr>
                <w:rFonts w:hint="eastAsia"/>
              </w:rPr>
              <w:t>郑州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4D133B" w:rsidRDefault="009E09AA" w:rsidP="000338A1">
            <w:pPr>
              <w:jc w:val="left"/>
            </w:pPr>
            <w:r w:rsidRPr="004D133B">
              <w:rPr>
                <w:rFonts w:hint="eastAsia"/>
              </w:rPr>
              <w:t>中国建设银行郑州市期货城支行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4D133B" w:rsidRDefault="009E09AA" w:rsidP="000338A1">
            <w:pPr>
              <w:jc w:val="left"/>
            </w:pPr>
            <w:r w:rsidRPr="004D133B">
              <w:rPr>
                <w:rFonts w:hint="eastAsia"/>
              </w:rPr>
              <w:t>41001521010050007254</w:t>
            </w:r>
          </w:p>
        </w:tc>
      </w:tr>
      <w:tr w:rsidR="009E09AA" w:rsidTr="00586AE6">
        <w:trPr>
          <w:cantSplit/>
          <w:trHeight w:val="382"/>
          <w:jc w:val="center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9AA" w:rsidRDefault="009E09AA" w:rsidP="00033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1E2E25" w:rsidRDefault="009E09AA" w:rsidP="000338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33B">
              <w:rPr>
                <w:rFonts w:hint="eastAsia"/>
              </w:rPr>
              <w:t>交通银行河南省分行商品交易所支行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1E2E25" w:rsidRDefault="009E09AA" w:rsidP="000338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133B">
              <w:rPr>
                <w:rFonts w:hint="eastAsia"/>
              </w:rPr>
              <w:t>411060700010141514836</w:t>
            </w:r>
          </w:p>
        </w:tc>
      </w:tr>
      <w:tr w:rsidR="009E09AA" w:rsidTr="00586AE6">
        <w:trPr>
          <w:cantSplit/>
          <w:trHeight w:val="382"/>
          <w:jc w:val="center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9AA" w:rsidRDefault="009E09AA" w:rsidP="00033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1E2E25" w:rsidRDefault="009E09AA" w:rsidP="000338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33B">
              <w:rPr>
                <w:rFonts w:hint="eastAsia"/>
              </w:rPr>
              <w:t>兴业银行股份有限公司郑州金水东路支行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1E2E25" w:rsidRDefault="009E09AA" w:rsidP="000338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133B">
              <w:rPr>
                <w:rFonts w:hint="eastAsia"/>
              </w:rPr>
              <w:t>462090113471014856</w:t>
            </w:r>
          </w:p>
        </w:tc>
      </w:tr>
      <w:tr w:rsidR="009E09AA" w:rsidTr="00586AE6">
        <w:trPr>
          <w:cantSplit/>
          <w:trHeight w:val="382"/>
          <w:jc w:val="center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9AA" w:rsidRDefault="009E09AA" w:rsidP="00033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1E2E25" w:rsidRDefault="009E09AA" w:rsidP="000338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33B">
              <w:rPr>
                <w:rFonts w:hint="eastAsia"/>
              </w:rPr>
              <w:t>中国农业银行郑州未来支行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1E2E25" w:rsidRDefault="009E09AA" w:rsidP="000338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133B">
              <w:rPr>
                <w:rFonts w:hint="eastAsia"/>
              </w:rPr>
              <w:t>16-001301040004229</w:t>
            </w:r>
          </w:p>
        </w:tc>
      </w:tr>
      <w:tr w:rsidR="009E09AA" w:rsidTr="00586AE6">
        <w:trPr>
          <w:cantSplit/>
          <w:trHeight w:val="382"/>
          <w:jc w:val="center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9AA" w:rsidRDefault="009E09AA" w:rsidP="00033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1E2E25" w:rsidRDefault="009E09AA" w:rsidP="000338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33B">
              <w:rPr>
                <w:rFonts w:hint="eastAsia"/>
              </w:rPr>
              <w:t>交通银行河南省分行商品交易所支行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1E2E25" w:rsidRDefault="009E09AA" w:rsidP="000338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133B">
              <w:rPr>
                <w:rFonts w:hint="eastAsia"/>
              </w:rPr>
              <w:t>411060700018170236331</w:t>
            </w:r>
          </w:p>
        </w:tc>
      </w:tr>
      <w:tr w:rsidR="009E09AA" w:rsidTr="00586AE6">
        <w:trPr>
          <w:cantSplit/>
          <w:trHeight w:val="382"/>
          <w:jc w:val="center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9AA" w:rsidRDefault="009E09AA" w:rsidP="00033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1E2E25" w:rsidRDefault="009E09AA" w:rsidP="000338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33B">
              <w:rPr>
                <w:rFonts w:hint="eastAsia"/>
              </w:rPr>
              <w:t>中国工商银行郑州市未来支行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1E2E25" w:rsidRDefault="009E09AA" w:rsidP="000338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133B">
              <w:rPr>
                <w:rFonts w:hint="eastAsia"/>
              </w:rPr>
              <w:t>1702022929000081751</w:t>
            </w:r>
          </w:p>
        </w:tc>
      </w:tr>
      <w:tr w:rsidR="009E09AA" w:rsidTr="00586AE6">
        <w:trPr>
          <w:cantSplit/>
          <w:trHeight w:val="382"/>
          <w:jc w:val="center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9AA" w:rsidRDefault="009E09AA" w:rsidP="00033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1E2E25" w:rsidRDefault="009E09AA" w:rsidP="000338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33B">
              <w:rPr>
                <w:rFonts w:hint="eastAsia"/>
              </w:rPr>
              <w:t>中国银行股份有限公司郑州商品交易所支行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1E2E25" w:rsidRDefault="009E09AA" w:rsidP="000338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133B">
              <w:rPr>
                <w:rFonts w:hint="eastAsia"/>
              </w:rPr>
              <w:t>254611349812</w:t>
            </w:r>
          </w:p>
        </w:tc>
      </w:tr>
      <w:tr w:rsidR="009E09AA" w:rsidTr="00586AE6">
        <w:trPr>
          <w:cantSplit/>
          <w:trHeight w:val="102"/>
          <w:jc w:val="center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9AA" w:rsidRDefault="009E09AA" w:rsidP="00033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1E2E25" w:rsidRDefault="009E09AA" w:rsidP="000338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33B">
              <w:rPr>
                <w:rFonts w:hint="eastAsia"/>
              </w:rPr>
              <w:t>中国银行股份有限公司郑州商品交易所支行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1E2E25" w:rsidRDefault="009E09AA" w:rsidP="000338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133B">
              <w:rPr>
                <w:rFonts w:hint="eastAsia"/>
              </w:rPr>
              <w:t>258512092903</w:t>
            </w:r>
          </w:p>
        </w:tc>
      </w:tr>
      <w:tr w:rsidR="009E09AA" w:rsidTr="00586AE6">
        <w:trPr>
          <w:cantSplit/>
          <w:trHeight w:val="382"/>
          <w:jc w:val="center"/>
        </w:trPr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9AA" w:rsidRPr="004D133B" w:rsidRDefault="009E09AA" w:rsidP="000338A1">
            <w:pPr>
              <w:jc w:val="center"/>
            </w:pPr>
            <w:r w:rsidRPr="004D133B">
              <w:rPr>
                <w:rFonts w:hint="eastAsia"/>
              </w:rPr>
              <w:t>上海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4D133B" w:rsidRDefault="009E09AA" w:rsidP="000338A1">
            <w:pPr>
              <w:jc w:val="left"/>
            </w:pPr>
            <w:r w:rsidRPr="004D133B">
              <w:rPr>
                <w:rFonts w:hint="eastAsia"/>
              </w:rPr>
              <w:t>中国建设银行上海期货支行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4D133B" w:rsidRDefault="009E09AA" w:rsidP="000338A1">
            <w:pPr>
              <w:jc w:val="left"/>
            </w:pPr>
            <w:r w:rsidRPr="004D133B">
              <w:rPr>
                <w:rFonts w:hint="eastAsia"/>
              </w:rPr>
              <w:t>31001559100056020244</w:t>
            </w:r>
          </w:p>
        </w:tc>
      </w:tr>
      <w:tr w:rsidR="009E09AA" w:rsidTr="00586AE6">
        <w:trPr>
          <w:cantSplit/>
          <w:trHeight w:val="382"/>
          <w:jc w:val="center"/>
        </w:trPr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Default="009E09AA" w:rsidP="00033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1E2E25" w:rsidRDefault="009E09AA" w:rsidP="000338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33B">
              <w:rPr>
                <w:rFonts w:hint="eastAsia"/>
              </w:rPr>
              <w:t>交行上海期货大厦支行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1E2E25" w:rsidRDefault="009E09AA" w:rsidP="000338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133B">
              <w:rPr>
                <w:rFonts w:hint="eastAsia"/>
              </w:rPr>
              <w:t>310066056017911014944</w:t>
            </w:r>
          </w:p>
        </w:tc>
      </w:tr>
      <w:tr w:rsidR="009E09AA" w:rsidTr="00586AE6">
        <w:trPr>
          <w:cantSplit/>
          <w:trHeight w:val="382"/>
          <w:jc w:val="center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9AA" w:rsidRDefault="009E09AA" w:rsidP="00033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1E2E25" w:rsidRDefault="009E09AA" w:rsidP="000338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33B">
              <w:rPr>
                <w:rFonts w:hint="eastAsia"/>
              </w:rPr>
              <w:t>交通银行上海期货大厦支行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1E2E25" w:rsidRDefault="009E09AA" w:rsidP="000338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133B">
              <w:rPr>
                <w:rFonts w:hint="eastAsia"/>
              </w:rPr>
              <w:t>310066056010020024417</w:t>
            </w:r>
          </w:p>
        </w:tc>
      </w:tr>
      <w:tr w:rsidR="009E09AA" w:rsidTr="00586AE6">
        <w:trPr>
          <w:cantSplit/>
          <w:trHeight w:val="382"/>
          <w:jc w:val="center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9AA" w:rsidRDefault="009E09AA" w:rsidP="00033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1E2E25" w:rsidRDefault="009E09AA" w:rsidP="000338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33B">
              <w:rPr>
                <w:rFonts w:hint="eastAsia"/>
              </w:rPr>
              <w:t>中国建设银行上海期货支行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1E2E25" w:rsidRDefault="009E09AA" w:rsidP="000338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133B">
              <w:rPr>
                <w:rFonts w:hint="eastAsia"/>
              </w:rPr>
              <w:t>31001559100059110149</w:t>
            </w:r>
          </w:p>
        </w:tc>
      </w:tr>
      <w:tr w:rsidR="009E09AA" w:rsidTr="00586AE6">
        <w:trPr>
          <w:cantSplit/>
          <w:trHeight w:val="382"/>
          <w:jc w:val="center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9AA" w:rsidRDefault="009E09AA" w:rsidP="00033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1E2E25" w:rsidRDefault="009E09AA" w:rsidP="000338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33B">
              <w:rPr>
                <w:rFonts w:hint="eastAsia"/>
              </w:rPr>
              <w:t>中国农业银行上海浦东分行期货大厦支行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1E2E25" w:rsidRDefault="009E09AA" w:rsidP="000338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133B">
              <w:rPr>
                <w:rFonts w:hint="eastAsia"/>
              </w:rPr>
              <w:t>03-427900048101497</w:t>
            </w:r>
          </w:p>
        </w:tc>
      </w:tr>
      <w:tr w:rsidR="009E09AA" w:rsidTr="00586AE6">
        <w:trPr>
          <w:cantSplit/>
          <w:trHeight w:val="382"/>
          <w:jc w:val="center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9AA" w:rsidRDefault="009E09AA" w:rsidP="00033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1E2E25" w:rsidRDefault="009E09AA" w:rsidP="000338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33B">
              <w:rPr>
                <w:rFonts w:hint="eastAsia"/>
              </w:rPr>
              <w:t>中国农业银行上海浦东分行期货大厦支行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1E2E25" w:rsidRDefault="009E09AA" w:rsidP="000338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133B">
              <w:rPr>
                <w:rFonts w:hint="eastAsia"/>
              </w:rPr>
              <w:t>03427900049902448</w:t>
            </w:r>
          </w:p>
        </w:tc>
      </w:tr>
      <w:tr w:rsidR="009E09AA" w:rsidTr="00586AE6">
        <w:trPr>
          <w:cantSplit/>
          <w:trHeight w:val="382"/>
          <w:jc w:val="center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9AA" w:rsidRDefault="009E09AA" w:rsidP="00033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1E2E25" w:rsidRDefault="009E09AA" w:rsidP="000338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33B">
              <w:rPr>
                <w:rFonts w:hint="eastAsia"/>
              </w:rPr>
              <w:t>中国工商银行上海期货大厦支行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1E2E25" w:rsidRDefault="009E09AA" w:rsidP="000338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133B">
              <w:rPr>
                <w:rFonts w:hint="eastAsia"/>
              </w:rPr>
              <w:t>1001173229081014942</w:t>
            </w:r>
          </w:p>
        </w:tc>
      </w:tr>
      <w:tr w:rsidR="009E09AA" w:rsidTr="00586AE6">
        <w:trPr>
          <w:cantSplit/>
          <w:trHeight w:val="382"/>
          <w:jc w:val="center"/>
        </w:trPr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9AA" w:rsidRPr="004D133B" w:rsidRDefault="009E09AA" w:rsidP="000338A1">
            <w:pPr>
              <w:jc w:val="center"/>
            </w:pPr>
            <w:r w:rsidRPr="004D133B">
              <w:rPr>
                <w:rFonts w:hint="eastAsia"/>
              </w:rPr>
              <w:t>北京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4D133B" w:rsidRDefault="009E09AA" w:rsidP="000338A1">
            <w:pPr>
              <w:jc w:val="left"/>
            </w:pPr>
            <w:r w:rsidRPr="004D133B">
              <w:rPr>
                <w:rFonts w:hint="eastAsia"/>
              </w:rPr>
              <w:t>中国建设银行股份有限公司北京西四支行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4D133B" w:rsidRDefault="009E09AA" w:rsidP="000338A1">
            <w:pPr>
              <w:jc w:val="left"/>
            </w:pPr>
            <w:r w:rsidRPr="004D133B">
              <w:rPr>
                <w:rFonts w:hint="eastAsia"/>
              </w:rPr>
              <w:t>11001007200059507055</w:t>
            </w:r>
          </w:p>
        </w:tc>
      </w:tr>
      <w:tr w:rsidR="009E09AA" w:rsidTr="00586AE6">
        <w:trPr>
          <w:cantSplit/>
          <w:trHeight w:val="382"/>
          <w:jc w:val="center"/>
        </w:trPr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Default="009E09AA" w:rsidP="00033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1E2E25" w:rsidRDefault="009E09AA" w:rsidP="000338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33B">
              <w:rPr>
                <w:rFonts w:hint="eastAsia"/>
              </w:rPr>
              <w:t>民生银行朝阳门支行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1E2E25" w:rsidRDefault="009E09AA" w:rsidP="000338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133B">
              <w:rPr>
                <w:rFonts w:hint="eastAsia"/>
              </w:rPr>
              <w:t>691123957</w:t>
            </w:r>
          </w:p>
        </w:tc>
      </w:tr>
      <w:tr w:rsidR="009E09AA" w:rsidTr="00586AE6">
        <w:trPr>
          <w:cantSplit/>
          <w:trHeight w:val="382"/>
          <w:jc w:val="center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9AA" w:rsidRDefault="009E09AA" w:rsidP="00033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1E2E25" w:rsidRDefault="009E09AA" w:rsidP="000338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33B">
              <w:rPr>
                <w:rFonts w:hint="eastAsia"/>
              </w:rPr>
              <w:t>交通银行北京五棵松支行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1E2E25" w:rsidRDefault="009E09AA" w:rsidP="000338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133B">
              <w:rPr>
                <w:rFonts w:hint="eastAsia"/>
              </w:rPr>
              <w:t>110061450018010021573</w:t>
            </w:r>
          </w:p>
        </w:tc>
      </w:tr>
      <w:tr w:rsidR="009E09AA" w:rsidTr="00586AE6">
        <w:trPr>
          <w:cantSplit/>
          <w:trHeight w:val="382"/>
          <w:jc w:val="center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9AA" w:rsidRDefault="009E09AA" w:rsidP="00033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Default="009E09AA" w:rsidP="000338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33B">
              <w:rPr>
                <w:rFonts w:hint="eastAsia"/>
              </w:rPr>
              <w:t>招商银行东直门支行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Default="009E09AA" w:rsidP="000338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133B">
              <w:rPr>
                <w:rFonts w:hint="eastAsia"/>
              </w:rPr>
              <w:t>110909512310802</w:t>
            </w:r>
          </w:p>
        </w:tc>
      </w:tr>
      <w:tr w:rsidR="009E09AA" w:rsidTr="00586AE6">
        <w:trPr>
          <w:cantSplit/>
          <w:trHeight w:val="382"/>
          <w:jc w:val="center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9AA" w:rsidRDefault="009E09AA" w:rsidP="00033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Default="009E09AA" w:rsidP="000338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133B">
              <w:rPr>
                <w:rFonts w:hint="eastAsia"/>
              </w:rPr>
              <w:t>浦发银行知春路支行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Default="009E09AA" w:rsidP="000338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133B">
              <w:rPr>
                <w:rFonts w:hint="eastAsia"/>
              </w:rPr>
              <w:t>91170153800000014</w:t>
            </w:r>
          </w:p>
        </w:tc>
      </w:tr>
      <w:tr w:rsidR="009E09AA" w:rsidTr="00586AE6">
        <w:trPr>
          <w:cantSplit/>
          <w:trHeight w:val="630"/>
          <w:jc w:val="center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4D133B" w:rsidRDefault="009E09AA" w:rsidP="000338A1">
            <w:pPr>
              <w:jc w:val="center"/>
            </w:pPr>
            <w:r w:rsidRPr="004D133B">
              <w:rPr>
                <w:rFonts w:hint="eastAsia"/>
              </w:rPr>
              <w:t>天津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Pr="004D133B" w:rsidRDefault="009E09AA" w:rsidP="000338A1">
            <w:pPr>
              <w:jc w:val="left"/>
            </w:pPr>
            <w:r w:rsidRPr="004D133B">
              <w:rPr>
                <w:rFonts w:hint="eastAsia"/>
              </w:rPr>
              <w:t>中国建设银行天津市和平支行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AA" w:rsidRDefault="009E09AA" w:rsidP="000338A1">
            <w:pPr>
              <w:jc w:val="left"/>
            </w:pPr>
            <w:r w:rsidRPr="004D133B">
              <w:rPr>
                <w:rFonts w:hint="eastAsia"/>
              </w:rPr>
              <w:t>12001615500050000349</w:t>
            </w:r>
          </w:p>
        </w:tc>
      </w:tr>
    </w:tbl>
    <w:p w:rsidR="000E0BF0" w:rsidRDefault="000E0BF0" w:rsidP="000E0BF0"/>
    <w:p w:rsidR="000338A1" w:rsidRPr="00F643CA" w:rsidRDefault="000338A1" w:rsidP="000338A1">
      <w:pPr>
        <w:tabs>
          <w:tab w:val="right" w:pos="8306"/>
        </w:tabs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（</w:t>
      </w:r>
      <w:r w:rsidRPr="00F643CA">
        <w:rPr>
          <w:rFonts w:ascii="仿宋_GB2312" w:eastAsia="仿宋_GB2312" w:hint="eastAsia"/>
          <w:sz w:val="28"/>
          <w:szCs w:val="28"/>
        </w:rPr>
        <w:t>二）民生期货有限公司保证金安全存管方式：</w:t>
      </w:r>
      <w:r>
        <w:rPr>
          <w:rFonts w:ascii="仿宋_GB2312" w:eastAsia="仿宋_GB2312"/>
          <w:sz w:val="28"/>
          <w:szCs w:val="28"/>
        </w:rPr>
        <w:tab/>
      </w:r>
    </w:p>
    <w:p w:rsidR="000338A1" w:rsidRPr="00FF1B31" w:rsidRDefault="000338A1" w:rsidP="000338A1">
      <w:pPr>
        <w:spacing w:line="360" w:lineRule="auto"/>
        <w:ind w:firstLineChars="300" w:firstLine="723"/>
        <w:rPr>
          <w:rFonts w:ascii="仿宋_GB2312" w:eastAsia="仿宋_GB2312"/>
          <w:b/>
          <w:color w:val="000000"/>
          <w:sz w:val="24"/>
        </w:rPr>
      </w:pPr>
      <w:r w:rsidRPr="00FF1B31">
        <w:rPr>
          <w:rFonts w:ascii="仿宋_GB2312" w:eastAsia="仿宋_GB2312" w:hint="eastAsia"/>
          <w:b/>
          <w:color w:val="000000"/>
          <w:sz w:val="24"/>
        </w:rPr>
        <w:t>期货保证金安全存管方式</w:t>
      </w:r>
    </w:p>
    <w:p w:rsidR="000338A1" w:rsidRDefault="000338A1" w:rsidP="000338A1">
      <w:pPr>
        <w:spacing w:line="360" w:lineRule="auto"/>
        <w:ind w:firstLineChars="200" w:firstLine="480"/>
        <w:rPr>
          <w:rFonts w:ascii="仿宋_GB2312" w:eastAsia="仿宋_GB2312"/>
          <w:color w:val="000000"/>
          <w:sz w:val="24"/>
        </w:rPr>
      </w:pPr>
      <w:r w:rsidRPr="00FF1B31">
        <w:rPr>
          <w:rFonts w:ascii="仿宋_GB2312" w:eastAsia="仿宋_GB2312" w:hint="eastAsia"/>
          <w:color w:val="000000"/>
          <w:sz w:val="24"/>
        </w:rPr>
        <w:t>（1）客户从事期货交易，应当在期货结算银行（工商银行、建设银行、交通银行，中国银行，农业银行</w:t>
      </w:r>
      <w:r>
        <w:rPr>
          <w:rFonts w:ascii="仿宋_GB2312" w:eastAsia="仿宋_GB2312" w:hint="eastAsia"/>
          <w:color w:val="000000"/>
          <w:sz w:val="24"/>
        </w:rPr>
        <w:t>等</w:t>
      </w:r>
      <w:r w:rsidRPr="00FF1B31">
        <w:rPr>
          <w:rFonts w:ascii="仿宋_GB2312" w:eastAsia="仿宋_GB2312" w:hint="eastAsia"/>
          <w:color w:val="000000"/>
          <w:sz w:val="24"/>
        </w:rPr>
        <w:t>）开立用于期货交易</w:t>
      </w:r>
      <w:proofErr w:type="gramStart"/>
      <w:r w:rsidRPr="00FF1B31">
        <w:rPr>
          <w:rFonts w:ascii="仿宋_GB2312" w:eastAsia="仿宋_GB2312" w:hint="eastAsia"/>
          <w:color w:val="000000"/>
          <w:sz w:val="24"/>
        </w:rPr>
        <w:t>出入金</w:t>
      </w:r>
      <w:proofErr w:type="gramEnd"/>
      <w:r w:rsidRPr="00FF1B31">
        <w:rPr>
          <w:rFonts w:ascii="仿宋_GB2312" w:eastAsia="仿宋_GB2312" w:hint="eastAsia"/>
          <w:color w:val="000000"/>
          <w:sz w:val="24"/>
        </w:rPr>
        <w:t>的银行结算账户（以下简称“期货结算账户”）或选择已在结算银行开立的银行结算账户登记为期货结算账户。</w:t>
      </w:r>
    </w:p>
    <w:p w:rsidR="000338A1" w:rsidRPr="00FF1B31" w:rsidRDefault="000338A1" w:rsidP="000338A1">
      <w:pPr>
        <w:spacing w:line="360" w:lineRule="auto"/>
        <w:ind w:firstLineChars="200" w:firstLine="480"/>
        <w:rPr>
          <w:rFonts w:ascii="仿宋_GB2312" w:eastAsia="仿宋_GB2312"/>
          <w:color w:val="000000"/>
          <w:sz w:val="24"/>
        </w:rPr>
      </w:pPr>
      <w:r w:rsidRPr="00FF1B31">
        <w:rPr>
          <w:rFonts w:ascii="仿宋_GB2312" w:eastAsia="仿宋_GB2312" w:hint="eastAsia"/>
          <w:color w:val="000000"/>
          <w:sz w:val="24"/>
        </w:rPr>
        <w:t>（2）客户使用期货结算账户办理期货交易</w:t>
      </w:r>
      <w:proofErr w:type="gramStart"/>
      <w:r w:rsidRPr="00FF1B31">
        <w:rPr>
          <w:rFonts w:ascii="仿宋_GB2312" w:eastAsia="仿宋_GB2312" w:hint="eastAsia"/>
          <w:color w:val="000000"/>
          <w:sz w:val="24"/>
        </w:rPr>
        <w:t>出入金</w:t>
      </w:r>
      <w:proofErr w:type="gramEnd"/>
      <w:r w:rsidRPr="00FF1B31">
        <w:rPr>
          <w:rFonts w:ascii="仿宋_GB2312" w:eastAsia="仿宋_GB2312" w:hint="eastAsia"/>
          <w:color w:val="000000"/>
          <w:sz w:val="24"/>
        </w:rPr>
        <w:t>之前，需在</w:t>
      </w:r>
      <w:r>
        <w:rPr>
          <w:rFonts w:ascii="仿宋_GB2312" w:eastAsia="仿宋_GB2312" w:hint="eastAsia"/>
          <w:color w:val="000000"/>
          <w:sz w:val="24"/>
        </w:rPr>
        <w:t>民生期货有限</w:t>
      </w:r>
      <w:r w:rsidRPr="00FF1B31">
        <w:rPr>
          <w:rFonts w:ascii="仿宋_GB2312" w:eastAsia="仿宋_GB2312" w:hint="eastAsia"/>
          <w:color w:val="000000"/>
          <w:sz w:val="24"/>
        </w:rPr>
        <w:t>公司登记，并经</w:t>
      </w:r>
      <w:r>
        <w:rPr>
          <w:rFonts w:ascii="仿宋_GB2312" w:eastAsia="仿宋_GB2312" w:hint="eastAsia"/>
          <w:color w:val="000000"/>
          <w:sz w:val="24"/>
        </w:rPr>
        <w:t>民生期货有限</w:t>
      </w:r>
      <w:r w:rsidRPr="00FF1B31">
        <w:rPr>
          <w:rFonts w:ascii="仿宋_GB2312" w:eastAsia="仿宋_GB2312" w:hint="eastAsia"/>
          <w:color w:val="000000"/>
          <w:sz w:val="24"/>
        </w:rPr>
        <w:t>公司向中国期货保证金监控中心报备为客户指定期货结算账户。客户变更期货结算账户，应当及时办理变更登记。</w:t>
      </w:r>
    </w:p>
    <w:p w:rsidR="000338A1" w:rsidRPr="00FF1B31" w:rsidRDefault="000338A1" w:rsidP="000338A1">
      <w:pPr>
        <w:spacing w:line="360" w:lineRule="auto"/>
        <w:ind w:firstLineChars="200" w:firstLine="480"/>
        <w:rPr>
          <w:rFonts w:ascii="仿宋_GB2312" w:eastAsia="仿宋_GB2312"/>
          <w:color w:val="000000"/>
          <w:sz w:val="24"/>
        </w:rPr>
      </w:pPr>
      <w:r w:rsidRPr="00FF1B31">
        <w:rPr>
          <w:rFonts w:ascii="仿宋_GB2312" w:eastAsia="仿宋_GB2312" w:hint="eastAsia"/>
          <w:color w:val="000000"/>
          <w:sz w:val="24"/>
        </w:rPr>
        <w:t>（3）客户用于期货交易的</w:t>
      </w:r>
      <w:proofErr w:type="gramStart"/>
      <w:r w:rsidRPr="00FF1B31">
        <w:rPr>
          <w:rFonts w:ascii="仿宋_GB2312" w:eastAsia="仿宋_GB2312" w:hint="eastAsia"/>
          <w:color w:val="000000"/>
          <w:sz w:val="24"/>
        </w:rPr>
        <w:t>出入金</w:t>
      </w:r>
      <w:proofErr w:type="gramEnd"/>
      <w:r w:rsidRPr="00FF1B31">
        <w:rPr>
          <w:rFonts w:ascii="仿宋_GB2312" w:eastAsia="仿宋_GB2312" w:hint="eastAsia"/>
          <w:color w:val="000000"/>
          <w:sz w:val="24"/>
        </w:rPr>
        <w:t>必须通过指定期货结算账户划转，客户向期货公司办理资金划转时必须以同行转账的形式进行，不得通过现金收付或期货公司内部划转的方式办理出入金。</w:t>
      </w:r>
    </w:p>
    <w:p w:rsidR="000338A1" w:rsidRPr="000338A1" w:rsidRDefault="000338A1" w:rsidP="000E0BF0"/>
    <w:sectPr w:rsidR="000338A1" w:rsidRPr="00033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91" w:rsidRDefault="00BA0A91" w:rsidP="009B281A">
      <w:r>
        <w:separator/>
      </w:r>
    </w:p>
  </w:endnote>
  <w:endnote w:type="continuationSeparator" w:id="0">
    <w:p w:rsidR="00BA0A91" w:rsidRDefault="00BA0A91" w:rsidP="009B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91" w:rsidRDefault="00BA0A91" w:rsidP="009B281A">
      <w:r>
        <w:separator/>
      </w:r>
    </w:p>
  </w:footnote>
  <w:footnote w:type="continuationSeparator" w:id="0">
    <w:p w:rsidR="00BA0A91" w:rsidRDefault="00BA0A91" w:rsidP="009B2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5A6"/>
    <w:multiLevelType w:val="hybridMultilevel"/>
    <w:tmpl w:val="2494BC12"/>
    <w:lvl w:ilvl="0" w:tplc="46A6D85E">
      <w:start w:val="1"/>
      <w:numFmt w:val="japaneseCounting"/>
      <w:lvlText w:val="（%1）"/>
      <w:lvlJc w:val="left"/>
      <w:pPr>
        <w:ind w:left="1440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E7"/>
    <w:rsid w:val="00024853"/>
    <w:rsid w:val="00026F3B"/>
    <w:rsid w:val="000338A1"/>
    <w:rsid w:val="0003576B"/>
    <w:rsid w:val="00087893"/>
    <w:rsid w:val="000A3D13"/>
    <w:rsid w:val="000D5D99"/>
    <w:rsid w:val="000E0BF0"/>
    <w:rsid w:val="00115CE5"/>
    <w:rsid w:val="00117BD1"/>
    <w:rsid w:val="001378BB"/>
    <w:rsid w:val="00144704"/>
    <w:rsid w:val="001646CA"/>
    <w:rsid w:val="00184743"/>
    <w:rsid w:val="00196376"/>
    <w:rsid w:val="001A44CA"/>
    <w:rsid w:val="001B1758"/>
    <w:rsid w:val="001C438B"/>
    <w:rsid w:val="001C68B8"/>
    <w:rsid w:val="001D24E5"/>
    <w:rsid w:val="001E0318"/>
    <w:rsid w:val="001E6F87"/>
    <w:rsid w:val="001F0A1D"/>
    <w:rsid w:val="00231928"/>
    <w:rsid w:val="00253C29"/>
    <w:rsid w:val="0029728B"/>
    <w:rsid w:val="002979CC"/>
    <w:rsid w:val="002A6AB2"/>
    <w:rsid w:val="002C67E4"/>
    <w:rsid w:val="002F0329"/>
    <w:rsid w:val="00334928"/>
    <w:rsid w:val="003830D7"/>
    <w:rsid w:val="00391451"/>
    <w:rsid w:val="003A1F10"/>
    <w:rsid w:val="003A2030"/>
    <w:rsid w:val="003B0E84"/>
    <w:rsid w:val="003B192F"/>
    <w:rsid w:val="003B6711"/>
    <w:rsid w:val="003E21F9"/>
    <w:rsid w:val="003F30D4"/>
    <w:rsid w:val="004111BB"/>
    <w:rsid w:val="0041265E"/>
    <w:rsid w:val="004210E5"/>
    <w:rsid w:val="004460DB"/>
    <w:rsid w:val="00456E40"/>
    <w:rsid w:val="004D1221"/>
    <w:rsid w:val="004F2B5E"/>
    <w:rsid w:val="005268CC"/>
    <w:rsid w:val="00565F07"/>
    <w:rsid w:val="005753E3"/>
    <w:rsid w:val="005760F9"/>
    <w:rsid w:val="00586AE6"/>
    <w:rsid w:val="00591F7C"/>
    <w:rsid w:val="005B67E7"/>
    <w:rsid w:val="005C3AD7"/>
    <w:rsid w:val="005E3ABC"/>
    <w:rsid w:val="006054E2"/>
    <w:rsid w:val="00605F8D"/>
    <w:rsid w:val="00606F63"/>
    <w:rsid w:val="00622B3B"/>
    <w:rsid w:val="00623087"/>
    <w:rsid w:val="00654CA5"/>
    <w:rsid w:val="00663C62"/>
    <w:rsid w:val="00704232"/>
    <w:rsid w:val="0073645E"/>
    <w:rsid w:val="007366CA"/>
    <w:rsid w:val="007636DB"/>
    <w:rsid w:val="007678ED"/>
    <w:rsid w:val="007A442C"/>
    <w:rsid w:val="007A5659"/>
    <w:rsid w:val="007D3BA1"/>
    <w:rsid w:val="007D4251"/>
    <w:rsid w:val="007F56D5"/>
    <w:rsid w:val="00860A0D"/>
    <w:rsid w:val="008759F1"/>
    <w:rsid w:val="008C3635"/>
    <w:rsid w:val="008E4CAE"/>
    <w:rsid w:val="008F05CA"/>
    <w:rsid w:val="00900DD8"/>
    <w:rsid w:val="00905D80"/>
    <w:rsid w:val="009328BC"/>
    <w:rsid w:val="00972C63"/>
    <w:rsid w:val="009852D8"/>
    <w:rsid w:val="009B281A"/>
    <w:rsid w:val="009E09AA"/>
    <w:rsid w:val="009F31A7"/>
    <w:rsid w:val="00A155E5"/>
    <w:rsid w:val="00A36095"/>
    <w:rsid w:val="00AA4A45"/>
    <w:rsid w:val="00AD27E0"/>
    <w:rsid w:val="00AF7B3A"/>
    <w:rsid w:val="00B01C96"/>
    <w:rsid w:val="00B067E7"/>
    <w:rsid w:val="00B11451"/>
    <w:rsid w:val="00B22023"/>
    <w:rsid w:val="00B717D6"/>
    <w:rsid w:val="00BA0A91"/>
    <w:rsid w:val="00BF6AC1"/>
    <w:rsid w:val="00C4317F"/>
    <w:rsid w:val="00C66288"/>
    <w:rsid w:val="00C67550"/>
    <w:rsid w:val="00C74CED"/>
    <w:rsid w:val="00C928C9"/>
    <w:rsid w:val="00CA6126"/>
    <w:rsid w:val="00CB674E"/>
    <w:rsid w:val="00CF3467"/>
    <w:rsid w:val="00CF6453"/>
    <w:rsid w:val="00D05DA1"/>
    <w:rsid w:val="00D11E82"/>
    <w:rsid w:val="00D51B48"/>
    <w:rsid w:val="00D577FD"/>
    <w:rsid w:val="00D6533F"/>
    <w:rsid w:val="00D70284"/>
    <w:rsid w:val="00D86E19"/>
    <w:rsid w:val="00DB0FEF"/>
    <w:rsid w:val="00DC1990"/>
    <w:rsid w:val="00E04868"/>
    <w:rsid w:val="00E27FF4"/>
    <w:rsid w:val="00E43FDA"/>
    <w:rsid w:val="00E47941"/>
    <w:rsid w:val="00E70441"/>
    <w:rsid w:val="00E73DBB"/>
    <w:rsid w:val="00ED6307"/>
    <w:rsid w:val="00EE206B"/>
    <w:rsid w:val="00F05EF9"/>
    <w:rsid w:val="00F6193B"/>
    <w:rsid w:val="00FA1DB2"/>
    <w:rsid w:val="00FC1A11"/>
    <w:rsid w:val="00FD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8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8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81A"/>
    <w:rPr>
      <w:sz w:val="18"/>
      <w:szCs w:val="18"/>
    </w:rPr>
  </w:style>
  <w:style w:type="paragraph" w:styleId="a5">
    <w:name w:val="List Paragraph"/>
    <w:basedOn w:val="a"/>
    <w:uiPriority w:val="34"/>
    <w:qFormat/>
    <w:rsid w:val="009B281A"/>
    <w:pPr>
      <w:ind w:firstLineChars="200" w:firstLine="420"/>
    </w:pPr>
  </w:style>
  <w:style w:type="paragraph" w:styleId="a6">
    <w:name w:val="Normal (Web)"/>
    <w:basedOn w:val="a"/>
    <w:rsid w:val="009B28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rsid w:val="009B28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8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8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81A"/>
    <w:rPr>
      <w:sz w:val="18"/>
      <w:szCs w:val="18"/>
    </w:rPr>
  </w:style>
  <w:style w:type="paragraph" w:styleId="a5">
    <w:name w:val="List Paragraph"/>
    <w:basedOn w:val="a"/>
    <w:uiPriority w:val="34"/>
    <w:qFormat/>
    <w:rsid w:val="009B281A"/>
    <w:pPr>
      <w:ind w:firstLineChars="200" w:firstLine="420"/>
    </w:pPr>
  </w:style>
  <w:style w:type="paragraph" w:styleId="a6">
    <w:name w:val="Normal (Web)"/>
    <w:basedOn w:val="a"/>
    <w:rsid w:val="009B28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rsid w:val="009B2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王东</dc:creator>
  <cp:keywords/>
  <dc:description/>
  <cp:lastModifiedBy>王东</cp:lastModifiedBy>
  <cp:revision>4</cp:revision>
  <dcterms:created xsi:type="dcterms:W3CDTF">2017-03-24T01:44:00Z</dcterms:created>
  <dcterms:modified xsi:type="dcterms:W3CDTF">2017-03-24T05:04:00Z</dcterms:modified>
</cp:coreProperties>
</file>